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D2749">
      <w:pPr>
        <w:spacing w:line="420" w:lineRule="exact"/>
        <w:rPr>
          <w:rFonts w:ascii="宋体" w:hAnsi="宋体"/>
          <w:b/>
          <w:iCs/>
          <w:szCs w:val="21"/>
        </w:rPr>
      </w:pPr>
      <w:r>
        <w:rPr>
          <w:rFonts w:ascii="宋体" w:hAnsi="宋体"/>
          <w:b/>
          <w:iCs/>
          <w:szCs w:val="21"/>
        </w:rPr>
        <w:t>证券代码：688100                                            证券简称：</w:t>
      </w:r>
      <w:r>
        <w:rPr>
          <w:rFonts w:hint="eastAsia" w:ascii="宋体" w:hAnsi="宋体"/>
          <w:b/>
          <w:iCs/>
          <w:szCs w:val="21"/>
        </w:rPr>
        <w:t>威胜信息</w:t>
      </w:r>
    </w:p>
    <w:p w14:paraId="6B18BC72">
      <w:pPr>
        <w:spacing w:before="468" w:beforeLines="150" w:after="156" w:afterLines="50" w:line="420" w:lineRule="exact"/>
        <w:jc w:val="center"/>
        <w:rPr>
          <w:rFonts w:ascii="宋体" w:hAnsi="宋体"/>
          <w:b/>
          <w:bCs/>
          <w:iCs/>
          <w:sz w:val="32"/>
          <w:szCs w:val="32"/>
        </w:rPr>
      </w:pPr>
      <w:r>
        <w:rPr>
          <w:rFonts w:hint="eastAsia" w:ascii="宋体" w:hAnsi="宋体"/>
          <w:b/>
          <w:bCs/>
          <w:iCs/>
          <w:sz w:val="32"/>
          <w:szCs w:val="32"/>
        </w:rPr>
        <w:t>威胜信息技术股份有限公司</w:t>
      </w:r>
    </w:p>
    <w:p w14:paraId="463E81AB">
      <w:pPr>
        <w:spacing w:before="156" w:beforeLines="50" w:after="468" w:afterLines="150" w:line="420" w:lineRule="exact"/>
        <w:jc w:val="center"/>
        <w:rPr>
          <w:rFonts w:ascii="宋体" w:hAnsi="宋体"/>
          <w:b/>
          <w:bCs/>
          <w:iCs/>
          <w:sz w:val="32"/>
          <w:szCs w:val="32"/>
        </w:rPr>
      </w:pPr>
      <w:r>
        <w:rPr>
          <w:rFonts w:ascii="宋体" w:hAnsi="宋体"/>
          <w:b/>
          <w:bCs/>
          <w:iCs/>
          <w:sz w:val="32"/>
          <w:szCs w:val="32"/>
        </w:rPr>
        <w:t>2025</w:t>
      </w:r>
      <w:r>
        <w:rPr>
          <w:rFonts w:hint="eastAsia" w:ascii="宋体" w:hAnsi="宋体"/>
          <w:b/>
          <w:bCs/>
          <w:iCs/>
          <w:sz w:val="32"/>
          <w:szCs w:val="32"/>
        </w:rPr>
        <w:t>年</w:t>
      </w:r>
      <w:r>
        <w:rPr>
          <w:rFonts w:ascii="宋体" w:hAnsi="宋体"/>
          <w:b/>
          <w:bCs/>
          <w:iCs/>
          <w:sz w:val="32"/>
          <w:szCs w:val="32"/>
        </w:rPr>
        <w:t>7</w:t>
      </w:r>
      <w:r>
        <w:rPr>
          <w:rFonts w:hint="eastAsia" w:ascii="宋体" w:hAnsi="宋体"/>
          <w:b/>
          <w:bCs/>
          <w:iCs/>
          <w:sz w:val="32"/>
          <w:szCs w:val="32"/>
        </w:rPr>
        <w:t>月</w:t>
      </w:r>
      <w:r>
        <w:rPr>
          <w:rFonts w:hint="eastAsia" w:ascii="宋体" w:hAnsi="宋体"/>
          <w:b/>
          <w:bCs/>
          <w:iCs/>
          <w:sz w:val="32"/>
          <w:szCs w:val="32"/>
          <w:lang w:val="en-US" w:eastAsia="zh-CN"/>
        </w:rPr>
        <w:t>10</w:t>
      </w:r>
      <w:r>
        <w:rPr>
          <w:rFonts w:ascii="宋体" w:hAnsi="宋体"/>
          <w:b/>
          <w:bCs/>
          <w:iCs/>
          <w:sz w:val="32"/>
          <w:szCs w:val="32"/>
        </w:rPr>
        <w:t>日</w:t>
      </w:r>
      <w:r>
        <w:rPr>
          <w:rFonts w:hint="eastAsia" w:ascii="宋体" w:hAnsi="宋体"/>
          <w:b/>
          <w:bCs/>
          <w:iCs/>
          <w:sz w:val="32"/>
          <w:szCs w:val="32"/>
        </w:rPr>
        <w:t>-</w:t>
      </w:r>
      <w:r>
        <w:rPr>
          <w:rFonts w:ascii="宋体" w:hAnsi="宋体"/>
          <w:b/>
          <w:bCs/>
          <w:iCs/>
          <w:sz w:val="32"/>
          <w:szCs w:val="32"/>
        </w:rPr>
        <w:t>11日</w:t>
      </w:r>
      <w:r>
        <w:rPr>
          <w:rFonts w:hint="eastAsia" w:ascii="宋体" w:hAnsi="宋体"/>
          <w:b/>
          <w:bCs/>
          <w:iCs/>
          <w:sz w:val="32"/>
          <w:szCs w:val="32"/>
        </w:rPr>
        <w:t>投资者交流会</w:t>
      </w:r>
      <w:r>
        <w:rPr>
          <w:rFonts w:ascii="宋体" w:hAnsi="宋体"/>
          <w:b/>
          <w:bCs/>
          <w:iCs/>
          <w:sz w:val="32"/>
          <w:szCs w:val="32"/>
        </w:rPr>
        <w:t>会议记录</w:t>
      </w:r>
    </w:p>
    <w:p w14:paraId="7FC29C83">
      <w:pPr>
        <w:spacing w:line="420" w:lineRule="exact"/>
        <w:ind w:firstLine="424" w:firstLineChars="177"/>
        <w:rPr>
          <w:rFonts w:ascii="宋体" w:hAnsi="宋体"/>
          <w:sz w:val="24"/>
        </w:rPr>
      </w:pPr>
      <w:r>
        <w:rPr>
          <w:rFonts w:hint="eastAsia" w:ascii="宋体" w:hAnsi="宋体"/>
          <w:sz w:val="24"/>
        </w:rPr>
        <w:t>威胜信息技术股份有限公司（以下简称“公司”）2</w:t>
      </w:r>
      <w:r>
        <w:rPr>
          <w:rFonts w:ascii="宋体" w:hAnsi="宋体"/>
          <w:sz w:val="24"/>
        </w:rPr>
        <w:t>025</w:t>
      </w:r>
      <w:r>
        <w:rPr>
          <w:rFonts w:hint="eastAsia" w:ascii="宋体" w:hAnsi="宋体"/>
          <w:sz w:val="24"/>
        </w:rPr>
        <w:t>年</w:t>
      </w:r>
      <w:r>
        <w:rPr>
          <w:rFonts w:ascii="宋体" w:hAnsi="宋体"/>
          <w:sz w:val="24"/>
        </w:rPr>
        <w:t>7</w:t>
      </w:r>
      <w:r>
        <w:rPr>
          <w:rFonts w:hint="eastAsia" w:ascii="宋体" w:hAnsi="宋体"/>
          <w:sz w:val="24"/>
        </w:rPr>
        <w:t>月</w:t>
      </w:r>
      <w:r>
        <w:rPr>
          <w:rFonts w:hint="eastAsia" w:ascii="宋体" w:hAnsi="宋体"/>
          <w:sz w:val="24"/>
          <w:lang w:val="en-US" w:eastAsia="zh-CN"/>
        </w:rPr>
        <w:t>10</w:t>
      </w:r>
      <w:r>
        <w:rPr>
          <w:rFonts w:ascii="宋体" w:hAnsi="宋体"/>
          <w:sz w:val="24"/>
        </w:rPr>
        <w:t>日</w:t>
      </w:r>
      <w:r>
        <w:rPr>
          <w:rFonts w:hint="eastAsia" w:ascii="宋体" w:hAnsi="宋体"/>
          <w:sz w:val="24"/>
        </w:rPr>
        <w:t>-</w:t>
      </w:r>
      <w:r>
        <w:rPr>
          <w:rFonts w:ascii="宋体" w:hAnsi="宋体"/>
          <w:sz w:val="24"/>
        </w:rPr>
        <w:t>11日</w:t>
      </w:r>
      <w:r>
        <w:rPr>
          <w:rFonts w:hint="eastAsia" w:ascii="宋体" w:hAnsi="宋体"/>
          <w:sz w:val="24"/>
        </w:rPr>
        <w:t>交流情况如下：</w:t>
      </w:r>
    </w:p>
    <w:p w14:paraId="6C076469">
      <w:pPr>
        <w:pStyle w:val="20"/>
        <w:numPr>
          <w:ilvl w:val="0"/>
          <w:numId w:val="1"/>
        </w:numPr>
        <w:spacing w:line="420" w:lineRule="exact"/>
        <w:ind w:left="709" w:firstLineChars="0"/>
        <w:rPr>
          <w:rFonts w:ascii="宋体" w:hAnsi="宋体"/>
          <w:b/>
          <w:bCs/>
          <w:sz w:val="24"/>
        </w:rPr>
      </w:pPr>
      <w:r>
        <w:rPr>
          <w:rFonts w:hint="eastAsia" w:ascii="宋体" w:hAnsi="宋体"/>
          <w:b/>
          <w:bCs/>
          <w:sz w:val="24"/>
        </w:rPr>
        <w:t>参会人员</w:t>
      </w:r>
    </w:p>
    <w:p w14:paraId="64ADBD2E">
      <w:pPr>
        <w:pStyle w:val="8"/>
        <w:spacing w:line="420" w:lineRule="exact"/>
        <w:ind w:firstLine="480" w:firstLineChars="200"/>
        <w:rPr>
          <w:rFonts w:hAnsi="宋体"/>
          <w:sz w:val="24"/>
        </w:rPr>
      </w:pPr>
      <w:r>
        <w:rPr>
          <w:rFonts w:hint="eastAsia" w:hAnsi="宋体"/>
          <w:sz w:val="24"/>
        </w:rPr>
        <w:t>副总裁、董事会秘书兼财务总监：钟喜玉女士；</w:t>
      </w:r>
    </w:p>
    <w:p w14:paraId="74099301">
      <w:pPr>
        <w:pStyle w:val="8"/>
        <w:spacing w:line="420" w:lineRule="exact"/>
        <w:ind w:firstLine="480" w:firstLineChars="200"/>
        <w:rPr>
          <w:rFonts w:hAnsi="宋体"/>
          <w:sz w:val="24"/>
        </w:rPr>
      </w:pPr>
      <w:r>
        <w:rPr>
          <w:rFonts w:hint="eastAsia" w:hAnsi="宋体"/>
          <w:sz w:val="24"/>
        </w:rPr>
        <w:t>战略发展总监：吴浩先生；</w:t>
      </w:r>
    </w:p>
    <w:p w14:paraId="17CF5348">
      <w:pPr>
        <w:pStyle w:val="8"/>
        <w:spacing w:line="420" w:lineRule="exact"/>
        <w:ind w:firstLine="480" w:firstLineChars="200"/>
        <w:rPr>
          <w:rFonts w:hAnsi="宋体"/>
          <w:sz w:val="24"/>
        </w:rPr>
      </w:pPr>
      <w:r>
        <w:rPr>
          <w:rFonts w:hint="eastAsia" w:hAnsi="宋体"/>
          <w:sz w:val="24"/>
        </w:rPr>
        <w:t>投资者关系经理：张乐维先生</w:t>
      </w:r>
    </w:p>
    <w:p w14:paraId="0D6DC3E7">
      <w:pPr>
        <w:pStyle w:val="8"/>
        <w:spacing w:line="420" w:lineRule="exact"/>
        <w:ind w:firstLine="480" w:firstLineChars="200"/>
        <w:rPr>
          <w:rFonts w:hAnsi="宋体"/>
          <w:sz w:val="24"/>
        </w:rPr>
      </w:pPr>
    </w:p>
    <w:p w14:paraId="5A29377F">
      <w:pPr>
        <w:pStyle w:val="8"/>
        <w:spacing w:line="420" w:lineRule="exact"/>
        <w:ind w:firstLine="480" w:firstLineChars="200"/>
        <w:rPr>
          <w:rFonts w:hAnsi="宋体"/>
          <w:sz w:val="24"/>
        </w:rPr>
      </w:pPr>
      <w:r>
        <w:rPr>
          <w:rFonts w:hint="eastAsia" w:hAnsi="宋体"/>
          <w:sz w:val="24"/>
        </w:rPr>
        <w:t>机构参会：</w:t>
      </w:r>
    </w:p>
    <w:p w14:paraId="55CFB3A4">
      <w:pPr>
        <w:pStyle w:val="8"/>
        <w:spacing w:line="420" w:lineRule="exact"/>
        <w:ind w:firstLine="480" w:firstLineChars="200"/>
        <w:rPr>
          <w:rFonts w:hAnsi="宋体"/>
          <w:sz w:val="24"/>
        </w:rPr>
      </w:pPr>
      <w:r>
        <w:rPr>
          <w:rFonts w:hint="eastAsia" w:hAnsi="宋体"/>
          <w:sz w:val="24"/>
        </w:rPr>
        <w:t>2</w:t>
      </w:r>
      <w:r>
        <w:rPr>
          <w:rFonts w:hAnsi="宋体"/>
          <w:sz w:val="24"/>
        </w:rPr>
        <w:t>025年7</w:t>
      </w:r>
      <w:r>
        <w:rPr>
          <w:rFonts w:hint="eastAsia" w:hAnsi="宋体"/>
          <w:sz w:val="24"/>
        </w:rPr>
        <w:t>月</w:t>
      </w:r>
      <w:r>
        <w:rPr>
          <w:rFonts w:hint="eastAsia" w:hAnsi="宋体"/>
          <w:sz w:val="24"/>
          <w:lang w:val="en-US" w:eastAsia="zh-CN"/>
        </w:rPr>
        <w:t>10</w:t>
      </w:r>
      <w:bookmarkStart w:id="3" w:name="_GoBack"/>
      <w:bookmarkEnd w:id="3"/>
      <w:r>
        <w:rPr>
          <w:rFonts w:hAnsi="宋体"/>
          <w:sz w:val="24"/>
        </w:rPr>
        <w:t>日</w:t>
      </w:r>
      <w:r>
        <w:rPr>
          <w:rFonts w:hint="eastAsia" w:hAnsi="宋体"/>
          <w:sz w:val="24"/>
        </w:rPr>
        <w:t xml:space="preserve"> 工银瑞信、天风资管、睿郡投资、财信基金、中金公司、财信证券、长江电新、中信建投</w:t>
      </w:r>
    </w:p>
    <w:p w14:paraId="1C2B8D39">
      <w:pPr>
        <w:pStyle w:val="8"/>
        <w:spacing w:line="420" w:lineRule="exact"/>
        <w:ind w:firstLine="480" w:firstLineChars="200"/>
        <w:rPr>
          <w:rFonts w:hAnsi="宋体"/>
          <w:sz w:val="24"/>
        </w:rPr>
      </w:pPr>
      <w:r>
        <w:rPr>
          <w:rFonts w:hint="eastAsia" w:hAnsi="宋体"/>
          <w:sz w:val="24"/>
        </w:rPr>
        <w:t>2</w:t>
      </w:r>
      <w:r>
        <w:rPr>
          <w:rFonts w:hAnsi="宋体"/>
          <w:sz w:val="24"/>
        </w:rPr>
        <w:t>025年7</w:t>
      </w:r>
      <w:r>
        <w:rPr>
          <w:rFonts w:hint="eastAsia" w:hAnsi="宋体"/>
          <w:sz w:val="24"/>
        </w:rPr>
        <w:t>月</w:t>
      </w:r>
      <w:r>
        <w:rPr>
          <w:rFonts w:hAnsi="宋体"/>
          <w:sz w:val="24"/>
        </w:rPr>
        <w:t>10日</w:t>
      </w:r>
      <w:r>
        <w:rPr>
          <w:rFonts w:hint="eastAsia" w:hAnsi="宋体"/>
          <w:sz w:val="24"/>
        </w:rPr>
        <w:t xml:space="preserve"> 中信资管、西部自营、景和资产、鹏石投资、鑫瀚资本、敦和资产、中金公司、天风证券、中泰证券、西部证券</w:t>
      </w:r>
    </w:p>
    <w:p w14:paraId="46C384F0">
      <w:pPr>
        <w:pStyle w:val="8"/>
        <w:spacing w:line="420" w:lineRule="exact"/>
        <w:ind w:firstLine="480" w:firstLineChars="200"/>
        <w:rPr>
          <w:rFonts w:hAnsi="宋体"/>
          <w:sz w:val="24"/>
        </w:rPr>
      </w:pPr>
      <w:r>
        <w:rPr>
          <w:rFonts w:hAnsi="宋体"/>
          <w:sz w:val="24"/>
        </w:rPr>
        <w:t>2025年7</w:t>
      </w:r>
      <w:r>
        <w:rPr>
          <w:rFonts w:hint="eastAsia" w:hAnsi="宋体"/>
          <w:sz w:val="24"/>
        </w:rPr>
        <w:t>月</w:t>
      </w:r>
      <w:r>
        <w:rPr>
          <w:rFonts w:hAnsi="宋体"/>
          <w:sz w:val="24"/>
        </w:rPr>
        <w:t>11日</w:t>
      </w:r>
      <w:r>
        <w:rPr>
          <w:rFonts w:hint="eastAsia" w:hAnsi="宋体"/>
          <w:sz w:val="24"/>
        </w:rPr>
        <w:t xml:space="preserve"> 汇添富、融通基金、人保资产、</w:t>
      </w:r>
      <w:r>
        <w:rPr>
          <w:rFonts w:hAnsi="宋体"/>
          <w:sz w:val="24"/>
        </w:rPr>
        <w:t>Mondrian</w:t>
      </w:r>
      <w:r>
        <w:rPr>
          <w:rFonts w:hint="eastAsia" w:hAnsi="宋体"/>
          <w:sz w:val="24"/>
        </w:rPr>
        <w:t>、中金公司、华西证券、华福证券、招商证券</w:t>
      </w:r>
    </w:p>
    <w:p w14:paraId="2CF26EE8">
      <w:pPr>
        <w:pStyle w:val="8"/>
        <w:spacing w:line="420" w:lineRule="exact"/>
        <w:ind w:firstLine="480" w:firstLineChars="200"/>
        <w:rPr>
          <w:rFonts w:hAnsi="宋体"/>
          <w:sz w:val="24"/>
        </w:rPr>
      </w:pPr>
    </w:p>
    <w:p w14:paraId="6C0B40FD">
      <w:pPr>
        <w:pStyle w:val="20"/>
        <w:numPr>
          <w:ilvl w:val="0"/>
          <w:numId w:val="1"/>
        </w:numPr>
        <w:spacing w:line="420" w:lineRule="exact"/>
        <w:ind w:left="709" w:firstLineChars="0"/>
        <w:rPr>
          <w:rFonts w:hAnsi="宋体"/>
          <w:b/>
          <w:bCs/>
          <w:sz w:val="24"/>
        </w:rPr>
      </w:pPr>
      <w:r>
        <w:rPr>
          <w:rFonts w:hint="eastAsia" w:hAnsi="宋体"/>
          <w:b/>
          <w:bCs/>
          <w:sz w:val="24"/>
        </w:rPr>
        <w:t>202</w:t>
      </w:r>
      <w:r>
        <w:rPr>
          <w:rFonts w:hAnsi="宋体"/>
          <w:b/>
          <w:bCs/>
          <w:sz w:val="24"/>
        </w:rPr>
        <w:t>5年一季</w:t>
      </w:r>
      <w:r>
        <w:rPr>
          <w:rFonts w:hint="eastAsia" w:hAnsi="宋体"/>
          <w:b/>
          <w:bCs/>
          <w:sz w:val="24"/>
        </w:rPr>
        <w:t>报主要情况介绍</w:t>
      </w:r>
    </w:p>
    <w:p w14:paraId="2D2DFA9B">
      <w:pPr>
        <w:widowControl/>
        <w:wordWrap w:val="0"/>
        <w:spacing w:line="420" w:lineRule="exact"/>
        <w:ind w:firstLine="480" w:firstLineChars="200"/>
        <w:jc w:val="left"/>
        <w:rPr>
          <w:rFonts w:ascii="宋体" w:hAnsi="宋体"/>
          <w:bCs/>
          <w:sz w:val="24"/>
        </w:rPr>
      </w:pPr>
      <w:r>
        <w:rPr>
          <w:rFonts w:ascii="宋体" w:hAnsi="宋体"/>
          <w:bCs/>
          <w:sz w:val="24"/>
        </w:rPr>
        <w:t>营业收入达 5.55 亿元，同比增长 24%；净利润 1.39 亿元，同比增长 25%，延续上市以来定期报告收入和净利润双增长态势。一季度经营现金净流入 7986 万元，同比增长 38%，新签合同 7.77 亿元，同比增长 30%；季末在手订单结余 41 亿元，为后续业绩提升奠定基础。</w:t>
      </w:r>
    </w:p>
    <w:p w14:paraId="57F3DAE8">
      <w:pPr>
        <w:widowControl/>
        <w:wordWrap w:val="0"/>
        <w:spacing w:line="420" w:lineRule="exact"/>
        <w:ind w:firstLine="480" w:firstLineChars="200"/>
        <w:jc w:val="left"/>
        <w:rPr>
          <w:rFonts w:ascii="宋体" w:hAnsi="宋体"/>
          <w:bCs/>
          <w:sz w:val="24"/>
        </w:rPr>
      </w:pPr>
      <w:r>
        <w:rPr>
          <w:rFonts w:ascii="宋体" w:hAnsi="宋体"/>
          <w:bCs/>
          <w:sz w:val="24"/>
        </w:rPr>
        <w:t>国内市场营收 4.55 亿元，同比增长 22.6%；海外市场营收 9692 万元，同比增长 31%。海外市场聚焦 “一带一路” 沿线，已设立超十家境外子公司和销售代表处，4 月 10 日印尼首家境外工厂投产，具备全工序先进制造能力，沙特工厂也在有序推进。</w:t>
      </w:r>
    </w:p>
    <w:p w14:paraId="40CC6690">
      <w:pPr>
        <w:widowControl/>
        <w:wordWrap w:val="0"/>
        <w:spacing w:line="420" w:lineRule="exact"/>
        <w:ind w:firstLine="480" w:firstLineChars="200"/>
        <w:jc w:val="left"/>
        <w:rPr>
          <w:rFonts w:ascii="宋体" w:hAnsi="宋体"/>
          <w:bCs/>
          <w:sz w:val="24"/>
        </w:rPr>
      </w:pPr>
      <w:r>
        <w:rPr>
          <w:rFonts w:ascii="宋体" w:hAnsi="宋体"/>
          <w:bCs/>
          <w:sz w:val="24"/>
        </w:rPr>
        <w:t>已完成 2024 年度分红派息，每 10 股派发现金红利 5.2 元，上市至今累计派发现金红利 9.58 亿元，回购注销股份约 2 亿元，两者累计达 11.6 亿元，远超募集资金 6.1 亿元。</w:t>
      </w:r>
      <w:r>
        <w:rPr>
          <w:rFonts w:hint="eastAsia" w:ascii="宋体" w:hAnsi="宋体"/>
          <w:bCs/>
          <w:sz w:val="24"/>
        </w:rPr>
        <w:t>截至2024年，已累计回购1231万股，回购金额约3亿元。今年1月，再次推出二次回购计划，拟回购1-1.5亿元股份，截至6月30日已回购358.64万股，回购金额达1.28亿元。</w:t>
      </w:r>
      <w:r>
        <w:rPr>
          <w:rFonts w:ascii="宋体" w:hAnsi="宋体"/>
          <w:bCs/>
          <w:sz w:val="24"/>
        </w:rPr>
        <w:t>公司还承诺未来五年保持 40% 基准现金分红派息率。</w:t>
      </w:r>
    </w:p>
    <w:p w14:paraId="3A1307D6">
      <w:pPr>
        <w:widowControl/>
        <w:wordWrap w:val="0"/>
        <w:spacing w:line="420" w:lineRule="exact"/>
        <w:ind w:firstLine="480" w:firstLineChars="200"/>
        <w:jc w:val="left"/>
        <w:rPr>
          <w:rFonts w:ascii="宋体" w:hAnsi="宋体"/>
          <w:bCs/>
          <w:sz w:val="24"/>
        </w:rPr>
      </w:pPr>
    </w:p>
    <w:p w14:paraId="329E6942">
      <w:pPr>
        <w:pStyle w:val="20"/>
        <w:numPr>
          <w:ilvl w:val="0"/>
          <w:numId w:val="1"/>
        </w:numPr>
        <w:spacing w:line="420" w:lineRule="exact"/>
        <w:ind w:left="709" w:firstLineChars="0"/>
        <w:rPr>
          <w:rFonts w:hAnsi="宋体"/>
          <w:b/>
          <w:sz w:val="24"/>
        </w:rPr>
      </w:pPr>
      <w:r>
        <w:rPr>
          <w:rFonts w:hint="eastAsia" w:hAnsi="宋体"/>
          <w:b/>
          <w:sz w:val="24"/>
        </w:rPr>
        <w:t>投资者问答</w:t>
      </w:r>
    </w:p>
    <w:p w14:paraId="560CD44D">
      <w:pPr>
        <w:widowControl/>
        <w:wordWrap w:val="0"/>
        <w:spacing w:line="420" w:lineRule="exact"/>
        <w:ind w:firstLine="482" w:firstLineChars="200"/>
        <w:jc w:val="left"/>
        <w:rPr>
          <w:rFonts w:ascii="宋体" w:hAnsi="宋体"/>
          <w:b/>
          <w:bCs/>
          <w:sz w:val="24"/>
        </w:rPr>
      </w:pPr>
      <w:r>
        <w:rPr>
          <w:rFonts w:ascii="宋体" w:hAnsi="宋体"/>
          <w:b/>
          <w:bCs/>
          <w:sz w:val="24"/>
        </w:rPr>
        <w:t>Q:2025 年上半年，公司有哪些重要产品在国内外市场取得突破？</w:t>
      </w:r>
    </w:p>
    <w:p w14:paraId="45397812">
      <w:pPr>
        <w:widowControl/>
        <w:wordWrap w:val="0"/>
        <w:spacing w:line="420" w:lineRule="exact"/>
        <w:ind w:firstLine="480" w:firstLineChars="200"/>
        <w:jc w:val="left"/>
        <w:rPr>
          <w:rFonts w:ascii="宋体" w:hAnsi="宋体"/>
          <w:bCs/>
          <w:sz w:val="24"/>
        </w:rPr>
      </w:pPr>
      <w:bookmarkStart w:id="0" w:name="OLE_LINK5"/>
      <w:r>
        <w:rPr>
          <w:rFonts w:ascii="宋体" w:hAnsi="宋体"/>
          <w:bCs/>
          <w:sz w:val="24"/>
        </w:rPr>
        <w:t>A:2025 年上半年，威胜信息 15 项科创成果通过行业评价，其中 1 项国际先进、10 项国内领先，覆盖智能终端、通信、智能传感领域</w:t>
      </w:r>
      <w:r>
        <w:rPr>
          <w:rFonts w:hint="eastAsia" w:ascii="宋体" w:hAnsi="宋体"/>
          <w:bCs/>
          <w:sz w:val="24"/>
        </w:rPr>
        <w:t>。</w:t>
      </w:r>
      <w:r>
        <w:rPr>
          <w:rFonts w:ascii="宋体" w:hAnsi="宋体"/>
          <w:bCs/>
          <w:sz w:val="24"/>
        </w:rPr>
        <w:t>国内3 款基于电鸿物联操作系统的智能量测终端达到国内领先水平</w:t>
      </w:r>
      <w:r>
        <w:rPr>
          <w:rFonts w:hint="eastAsia" w:ascii="宋体" w:hAnsi="宋体"/>
          <w:bCs/>
          <w:sz w:val="24"/>
        </w:rPr>
        <w:t>，</w:t>
      </w:r>
      <w:r>
        <w:rPr>
          <w:rFonts w:ascii="宋体" w:hAnsi="宋体"/>
          <w:bCs/>
          <w:sz w:val="24"/>
        </w:rPr>
        <w:t>产品在行业内率先实现智能量测终端拔插式、双卡双网络+双以太网的双4G通信模组开发应用</w:t>
      </w:r>
      <w:r>
        <w:rPr>
          <w:rFonts w:hint="eastAsia" w:ascii="宋体" w:hAnsi="宋体"/>
          <w:bCs/>
          <w:sz w:val="24"/>
        </w:rPr>
        <w:t>，</w:t>
      </w:r>
      <w:r>
        <w:rPr>
          <w:rFonts w:ascii="宋体" w:hAnsi="宋体"/>
          <w:bCs/>
          <w:sz w:val="24"/>
          <w:szCs w:val="22"/>
        </w:rPr>
        <w:t>支持双电主站数据采集，可实现电能表数据高频、全量采集，引领智能量测终端技术升级方向</w:t>
      </w:r>
      <w:r>
        <w:rPr>
          <w:rFonts w:hint="eastAsia" w:ascii="宋体" w:hAnsi="宋体"/>
          <w:bCs/>
          <w:sz w:val="24"/>
        </w:rPr>
        <w:t>；国内</w:t>
      </w:r>
      <w:r>
        <w:rPr>
          <w:rFonts w:ascii="宋体" w:hAnsi="宋体"/>
          <w:bCs/>
          <w:sz w:val="24"/>
        </w:rPr>
        <w:t>基于电鸿物联操作系统的</w:t>
      </w:r>
      <w:r>
        <w:rPr>
          <w:rFonts w:hint="eastAsia" w:ascii="宋体" w:hAnsi="宋体"/>
          <w:bCs/>
          <w:sz w:val="24"/>
        </w:rPr>
        <w:t>4</w:t>
      </w:r>
      <w:r>
        <w:rPr>
          <w:rFonts w:ascii="宋体" w:hAnsi="宋体"/>
          <w:bCs/>
          <w:sz w:val="24"/>
        </w:rPr>
        <w:t>款双模通信模块均达到国内领先水平</w:t>
      </w:r>
      <w:r>
        <w:rPr>
          <w:rFonts w:hint="eastAsia" w:ascii="宋体" w:hAnsi="宋体"/>
          <w:bCs/>
          <w:sz w:val="24"/>
        </w:rPr>
        <w:t>，可</w:t>
      </w:r>
      <w:r>
        <w:rPr>
          <w:rFonts w:ascii="宋体" w:hAnsi="宋体"/>
          <w:bCs/>
          <w:sz w:val="24"/>
        </w:rPr>
        <w:t>显著提升现场运维效率与数据传输可靠性</w:t>
      </w:r>
      <w:r>
        <w:rPr>
          <w:rFonts w:hint="eastAsia" w:ascii="宋体" w:hAnsi="宋体"/>
          <w:bCs/>
          <w:sz w:val="24"/>
        </w:rPr>
        <w:t>；智慧传感领域，</w:t>
      </w:r>
      <w:r>
        <w:rPr>
          <w:rFonts w:ascii="宋体" w:hAnsi="宋体"/>
          <w:bCs/>
          <w:sz w:val="24"/>
        </w:rPr>
        <w:t>7项产品分获国内领先或国内先进水平评价</w:t>
      </w:r>
      <w:r>
        <w:rPr>
          <w:rFonts w:hint="eastAsia" w:ascii="宋体" w:hAnsi="宋体"/>
          <w:bCs/>
          <w:sz w:val="24"/>
        </w:rPr>
        <w:t>。</w:t>
      </w:r>
    </w:p>
    <w:p w14:paraId="48C02C2C">
      <w:pPr>
        <w:widowControl/>
        <w:wordWrap w:val="0"/>
        <w:spacing w:line="420" w:lineRule="exact"/>
        <w:ind w:firstLine="480" w:firstLineChars="200"/>
        <w:jc w:val="left"/>
        <w:rPr>
          <w:rFonts w:ascii="宋体" w:hAnsi="宋体"/>
          <w:bCs/>
          <w:sz w:val="24"/>
        </w:rPr>
      </w:pPr>
      <w:r>
        <w:rPr>
          <w:rFonts w:ascii="宋体" w:hAnsi="宋体"/>
          <w:bCs/>
          <w:sz w:val="24"/>
        </w:rPr>
        <w:t>海外智能电网产品也获得多项国际认证</w:t>
      </w:r>
      <w:r>
        <w:rPr>
          <w:rFonts w:hint="eastAsia" w:ascii="宋体" w:hAnsi="宋体"/>
          <w:bCs/>
          <w:sz w:val="24"/>
        </w:rPr>
        <w:t>，</w:t>
      </w:r>
      <w:r>
        <w:rPr>
          <w:rFonts w:ascii="宋体" w:hAnsi="宋体"/>
          <w:bCs/>
          <w:sz w:val="24"/>
        </w:rPr>
        <w:t>智能终端领域的综合测控终端（RTU）达国际先进</w:t>
      </w:r>
      <w:r>
        <w:rPr>
          <w:rFonts w:hint="eastAsia" w:ascii="宋体" w:hAnsi="宋体"/>
          <w:bCs/>
          <w:sz w:val="24"/>
        </w:rPr>
        <w:t>，</w:t>
      </w:r>
      <w:r>
        <w:rPr>
          <w:rFonts w:ascii="宋体" w:hAnsi="宋体"/>
          <w:bCs/>
          <w:sz w:val="24"/>
        </w:rPr>
        <w:t>可精准捕捉最短5ms的残压故障信号，显著提升电网故障选择性保护精度</w:t>
      </w:r>
      <w:r>
        <w:rPr>
          <w:rFonts w:hint="eastAsia" w:ascii="宋体" w:hAnsi="宋体"/>
          <w:bCs/>
          <w:sz w:val="24"/>
        </w:rPr>
        <w:t>，</w:t>
      </w:r>
      <w:r>
        <w:rPr>
          <w:rFonts w:ascii="宋体" w:hAnsi="宋体"/>
          <w:bCs/>
          <w:sz w:val="24"/>
        </w:rPr>
        <w:t>目前已在中东国家实现批量应用</w:t>
      </w:r>
      <w:r>
        <w:rPr>
          <w:rFonts w:hint="eastAsia" w:ascii="宋体" w:hAnsi="宋体"/>
          <w:bCs/>
          <w:sz w:val="24"/>
        </w:rPr>
        <w:t>；</w:t>
      </w:r>
      <w:r>
        <w:rPr>
          <w:rFonts w:ascii="宋体" w:hAnsi="宋体"/>
          <w:bCs/>
          <w:sz w:val="24"/>
        </w:rPr>
        <w:t>海外集中器（DCU）顺利通过多项国际权威认证</w:t>
      </w:r>
      <w:r>
        <w:rPr>
          <w:rFonts w:hint="eastAsia" w:ascii="宋体" w:hAnsi="宋体"/>
          <w:bCs/>
          <w:sz w:val="24"/>
        </w:rPr>
        <w:t>，</w:t>
      </w:r>
      <w:r>
        <w:rPr>
          <w:rFonts w:ascii="宋体" w:hAnsi="宋体"/>
          <w:bCs/>
          <w:sz w:val="24"/>
        </w:rPr>
        <w:t>为全球智能电网数据传输提供稳定可靠的“神经中枢”</w:t>
      </w:r>
      <w:r>
        <w:rPr>
          <w:rFonts w:hint="eastAsia" w:ascii="宋体" w:hAnsi="宋体"/>
          <w:bCs/>
          <w:sz w:val="24"/>
        </w:rPr>
        <w:t>；</w:t>
      </w:r>
      <w:r>
        <w:rPr>
          <w:rFonts w:ascii="宋体" w:hAnsi="宋体"/>
          <w:bCs/>
          <w:sz w:val="24"/>
        </w:rPr>
        <w:t xml:space="preserve"> 面向海外市场的故障指示器（FI）主要应用于6~35kV架空线路及城市地下配电网电缆线路</w:t>
      </w:r>
      <w:r>
        <w:rPr>
          <w:rFonts w:hint="eastAsia" w:ascii="宋体" w:hAnsi="宋体"/>
          <w:bCs/>
          <w:sz w:val="24"/>
        </w:rPr>
        <w:t>，</w:t>
      </w:r>
      <w:r>
        <w:rPr>
          <w:rFonts w:ascii="宋体" w:hAnsi="宋体"/>
          <w:bCs/>
          <w:sz w:val="24"/>
        </w:rPr>
        <w:t>使接地故障诊断准确率超95%，设备在线率高达99%；即便在80℃高温极端环境下，仍能稳定运行，为海外电网安全高效运转筑牢防线。</w:t>
      </w:r>
    </w:p>
    <w:bookmarkEnd w:id="0"/>
    <w:p w14:paraId="0F6B6177">
      <w:pPr>
        <w:widowControl/>
        <w:wordWrap w:val="0"/>
        <w:spacing w:line="420" w:lineRule="exact"/>
        <w:jc w:val="left"/>
        <w:rPr>
          <w:rFonts w:ascii="宋体" w:hAnsi="宋体"/>
          <w:bCs/>
          <w:sz w:val="24"/>
        </w:rPr>
      </w:pPr>
    </w:p>
    <w:p w14:paraId="2586BEAA">
      <w:pPr>
        <w:widowControl/>
        <w:wordWrap w:val="0"/>
        <w:spacing w:line="420" w:lineRule="exact"/>
        <w:ind w:firstLine="482" w:firstLineChars="200"/>
        <w:jc w:val="left"/>
        <w:rPr>
          <w:rFonts w:ascii="宋体" w:hAnsi="宋体"/>
          <w:b/>
          <w:bCs/>
          <w:sz w:val="24"/>
        </w:rPr>
      </w:pPr>
      <w:r>
        <w:rPr>
          <w:rFonts w:ascii="宋体" w:hAnsi="宋体"/>
          <w:b/>
          <w:bCs/>
          <w:sz w:val="24"/>
        </w:rPr>
        <w:t>Q：2025 年上半年国家密集出台多项电力能源领域等相关政策，对行业发展有何意义？公司如何结合自身技术与产品布局把握政策机遇？</w:t>
      </w:r>
      <w:r>
        <w:rPr>
          <w:rFonts w:hint="eastAsia" w:ascii="MS Gothic" w:hAnsi="MS Gothic" w:eastAsia="MS Gothic" w:cs="MS Gothic"/>
          <w:b/>
          <w:bCs/>
          <w:sz w:val="24"/>
        </w:rPr>
        <w:t>​</w:t>
      </w:r>
    </w:p>
    <w:p w14:paraId="3D4D4E95">
      <w:pPr>
        <w:widowControl/>
        <w:wordWrap w:val="0"/>
        <w:spacing w:line="420" w:lineRule="exact"/>
        <w:ind w:firstLine="480" w:firstLineChars="200"/>
        <w:jc w:val="left"/>
        <w:rPr>
          <w:rFonts w:ascii="宋体" w:hAnsi="宋体"/>
          <w:bCs/>
          <w:sz w:val="24"/>
        </w:rPr>
      </w:pPr>
      <w:r>
        <w:rPr>
          <w:rFonts w:hint="eastAsia" w:ascii="宋体" w:hAnsi="宋体"/>
          <w:bCs/>
          <w:sz w:val="24"/>
        </w:rPr>
        <w:t>A</w:t>
      </w:r>
      <w:r>
        <w:rPr>
          <w:rFonts w:ascii="宋体" w:hAnsi="宋体"/>
          <w:bCs/>
          <w:sz w:val="24"/>
        </w:rPr>
        <w:t>：</w:t>
      </w:r>
      <w:r>
        <w:rPr>
          <w:rFonts w:hint="eastAsia" w:ascii="MS Gothic" w:hAnsi="MS Gothic" w:eastAsia="MS Gothic" w:cs="MS Gothic"/>
          <w:bCs/>
          <w:sz w:val="24"/>
        </w:rPr>
        <w:t>​</w:t>
      </w:r>
      <w:r>
        <w:rPr>
          <w:rFonts w:ascii="宋体" w:hAnsi="宋体"/>
          <w:bCs/>
          <w:sz w:val="24"/>
        </w:rPr>
        <w:t>2025 年上半年出台的系列电力能源政策，是国家推动新型电力系统建设与能源绿色低碳转型的关键部署。政策从市场化机制完善（如</w:t>
      </w:r>
      <w:r>
        <w:rPr>
          <w:rFonts w:hint="eastAsia" w:ascii="宋体" w:hAnsi="宋体"/>
          <w:bCs/>
          <w:sz w:val="24"/>
        </w:rPr>
        <w:t>《关于深化新能源上网电价市场</w:t>
      </w:r>
      <w:r>
        <w:rPr>
          <w:rFonts w:ascii="宋体" w:hAnsi="宋体"/>
          <w:bCs/>
          <w:sz w:val="24"/>
        </w:rPr>
        <w:t>化改革促进新能源高质量发展的通知》、</w:t>
      </w:r>
      <w:r>
        <w:rPr>
          <w:rFonts w:hint="eastAsia" w:ascii="宋体" w:hAnsi="宋体"/>
          <w:bCs/>
          <w:sz w:val="24"/>
        </w:rPr>
        <w:t>《关于全面加快电力现货市场建设工作的通知》等</w:t>
      </w:r>
      <w:r>
        <w:rPr>
          <w:rFonts w:ascii="宋体" w:hAnsi="宋体"/>
          <w:bCs/>
          <w:sz w:val="24"/>
        </w:rPr>
        <w:t>）、绿电价值兑现（如</w:t>
      </w:r>
      <w:r>
        <w:rPr>
          <w:rFonts w:hint="eastAsia" w:ascii="宋体" w:hAnsi="宋体"/>
          <w:bCs/>
          <w:sz w:val="24"/>
        </w:rPr>
        <w:t>《关于促进可再生能源绿色</w:t>
      </w:r>
      <w:r>
        <w:rPr>
          <w:rFonts w:ascii="宋体" w:hAnsi="宋体"/>
          <w:bCs/>
          <w:sz w:val="24"/>
        </w:rPr>
        <w:t>电力证书市场高质量发展的意见》</w:t>
      </w:r>
      <w:r>
        <w:rPr>
          <w:rFonts w:hint="eastAsia" w:ascii="宋体" w:hAnsi="宋体"/>
          <w:bCs/>
          <w:sz w:val="24"/>
        </w:rPr>
        <w:t>、《关于有序推动绿电直连发展有</w:t>
      </w:r>
      <w:r>
        <w:rPr>
          <w:rFonts w:ascii="宋体" w:hAnsi="宋体"/>
          <w:bCs/>
          <w:sz w:val="24"/>
        </w:rPr>
        <w:t>关事项的通知》等）、</w:t>
      </w:r>
      <w:r>
        <w:rPr>
          <w:rFonts w:hint="eastAsia" w:ascii="宋体" w:hAnsi="宋体"/>
          <w:bCs/>
          <w:sz w:val="24"/>
        </w:rPr>
        <w:t>零碳经济</w:t>
      </w:r>
      <w:r>
        <w:rPr>
          <w:rFonts w:ascii="宋体" w:hAnsi="宋体"/>
          <w:bCs/>
          <w:sz w:val="24"/>
        </w:rPr>
        <w:t>（如</w:t>
      </w:r>
      <w:r>
        <w:rPr>
          <w:rFonts w:hint="eastAsia" w:ascii="宋体" w:hAnsi="宋体"/>
          <w:bCs/>
          <w:sz w:val="24"/>
        </w:rPr>
        <w:t>《关于开展零碳园区建设的通知》</w:t>
      </w:r>
      <w:r>
        <w:rPr>
          <w:rFonts w:ascii="宋体" w:hAnsi="宋体"/>
          <w:bCs/>
          <w:sz w:val="24"/>
        </w:rPr>
        <w:t>）等维度，为行业明确 “市场化 + 低碳零碳化 + 数字化” 发展方向，加速能源电力领域技术迭代与商业模式创新。</w:t>
      </w:r>
      <w:r>
        <w:rPr>
          <w:rFonts w:hint="eastAsia" w:ascii="MS Gothic" w:hAnsi="MS Gothic" w:eastAsia="MS Gothic" w:cs="MS Gothic"/>
          <w:bCs/>
          <w:sz w:val="24"/>
        </w:rPr>
        <w:t>​</w:t>
      </w:r>
    </w:p>
    <w:p w14:paraId="59CC8743">
      <w:pPr>
        <w:widowControl/>
        <w:wordWrap w:val="0"/>
        <w:spacing w:line="420" w:lineRule="exact"/>
        <w:ind w:firstLine="480" w:firstLineChars="200"/>
        <w:jc w:val="left"/>
        <w:rPr>
          <w:rFonts w:ascii="宋体" w:hAnsi="宋体"/>
          <w:bCs/>
          <w:sz w:val="24"/>
        </w:rPr>
      </w:pPr>
      <w:r>
        <w:rPr>
          <w:rFonts w:ascii="宋体" w:hAnsi="宋体"/>
          <w:bCs/>
          <w:sz w:val="24"/>
        </w:rPr>
        <w:t>2025 年上半年政策围绕 “新能源消纳、绿电交易、电网透明化、零碳经济” 构建新型电力系统协同框架，公司提供的新能源接入、有序用电、透明配网、负荷管理等成熟的综合解决方案与政策方向契合</w:t>
      </w:r>
      <w:r>
        <w:rPr>
          <w:rFonts w:hint="eastAsia" w:ascii="宋体" w:hAnsi="宋体"/>
          <w:bCs/>
          <w:sz w:val="24"/>
        </w:rPr>
        <w:t>。</w:t>
      </w:r>
      <w:r>
        <w:rPr>
          <w:rFonts w:hint="eastAsia" w:ascii="MS Gothic" w:hAnsi="MS Gothic" w:eastAsia="MS Gothic" w:cs="MS Gothic"/>
          <w:bCs/>
          <w:sz w:val="24"/>
        </w:rPr>
        <w:t>​</w:t>
      </w:r>
    </w:p>
    <w:p w14:paraId="166E0D14">
      <w:pPr>
        <w:widowControl/>
        <w:wordWrap w:val="0"/>
        <w:spacing w:line="420" w:lineRule="exact"/>
        <w:ind w:firstLine="480" w:firstLineChars="200"/>
        <w:jc w:val="left"/>
        <w:rPr>
          <w:rFonts w:ascii="宋体" w:hAnsi="宋体"/>
          <w:bCs/>
          <w:sz w:val="24"/>
        </w:rPr>
      </w:pPr>
      <w:r>
        <w:rPr>
          <w:rFonts w:ascii="宋体" w:hAnsi="宋体"/>
          <w:bCs/>
          <w:sz w:val="24"/>
        </w:rPr>
        <w:t>在新能源消纳领域，</w:t>
      </w:r>
      <w:r>
        <w:rPr>
          <w:rFonts w:hint="eastAsia" w:ascii="宋体" w:hAnsi="宋体"/>
          <w:bCs/>
          <w:sz w:val="24"/>
        </w:rPr>
        <w:t>新能源接入解决方案</w:t>
      </w:r>
      <w:r>
        <w:rPr>
          <w:rFonts w:ascii="宋体" w:hAnsi="宋体"/>
          <w:bCs/>
          <w:sz w:val="24"/>
        </w:rPr>
        <w:t>能够助力电网提升对新能源电力的消纳能力，实现新能源电力的高效接入与稳定运行；在园区场景，整合绿电供应数据采集、柔性负荷调度信息交互，支撑零碳园区 源网荷储协同运营；在电力现货市场，以配网全要素数据采集（如分布式电源、负荷节点用能信息等）与实时通信能力，为电网调度提供基础数据支撑；在零碳园区场景，依托负荷管理解决方案的用能数据采集与分析功能，帮助工业企业梳理用能曲线、优化能源结构，间接降低碳管理成本。</w:t>
      </w:r>
      <w:r>
        <w:rPr>
          <w:rFonts w:hint="eastAsia" w:ascii="MS Gothic" w:hAnsi="MS Gothic" w:eastAsia="MS Gothic" w:cs="MS Gothic"/>
          <w:bCs/>
          <w:sz w:val="24"/>
        </w:rPr>
        <w:t>​</w:t>
      </w:r>
    </w:p>
    <w:p w14:paraId="16F875C9">
      <w:pPr>
        <w:widowControl/>
        <w:wordWrap w:val="0"/>
        <w:spacing w:line="420" w:lineRule="exact"/>
        <w:ind w:firstLine="480" w:firstLineChars="200"/>
        <w:jc w:val="left"/>
        <w:rPr>
          <w:rFonts w:ascii="宋体" w:hAnsi="宋体"/>
          <w:bCs/>
          <w:sz w:val="24"/>
        </w:rPr>
      </w:pPr>
      <w:r>
        <w:rPr>
          <w:rFonts w:ascii="宋体" w:hAnsi="宋体"/>
          <w:bCs/>
          <w:sz w:val="24"/>
        </w:rPr>
        <w:t>政策持续推动能源电力系统向 “低碳化、数字化、市场化” 升级，也为公司发展打开长期增量空间。公司将围绕新型电力系统核心技术持续突破：深化公司核心竞争力</w:t>
      </w:r>
      <w:r>
        <w:rPr>
          <w:rFonts w:hint="eastAsia" w:ascii="宋体" w:hAnsi="宋体"/>
          <w:bCs/>
          <w:sz w:val="24"/>
        </w:rPr>
        <w:t>“</w:t>
      </w:r>
      <w:r>
        <w:rPr>
          <w:rFonts w:ascii="宋体" w:hAnsi="宋体"/>
          <w:bCs/>
          <w:sz w:val="24"/>
        </w:rPr>
        <w:t>物联网</w:t>
      </w:r>
      <w:r>
        <w:rPr>
          <w:rFonts w:hint="eastAsia" w:ascii="宋体" w:hAnsi="宋体"/>
          <w:bCs/>
          <w:sz w:val="24"/>
        </w:rPr>
        <w:t>+</w:t>
      </w:r>
      <w:r>
        <w:rPr>
          <w:rFonts w:ascii="宋体" w:hAnsi="宋体"/>
          <w:bCs/>
          <w:sz w:val="24"/>
        </w:rPr>
        <w:t>芯片</w:t>
      </w:r>
      <w:r>
        <w:rPr>
          <w:rFonts w:hint="eastAsia" w:ascii="宋体" w:hAnsi="宋体"/>
          <w:bCs/>
          <w:sz w:val="24"/>
        </w:rPr>
        <w:t>+</w:t>
      </w:r>
      <w:r>
        <w:rPr>
          <w:rFonts w:ascii="宋体" w:hAnsi="宋体"/>
          <w:bCs/>
          <w:sz w:val="24"/>
        </w:rPr>
        <w:t>AI</w:t>
      </w:r>
      <w:r>
        <w:rPr>
          <w:rFonts w:hint="eastAsia" w:ascii="宋体" w:hAnsi="宋体"/>
          <w:bCs/>
          <w:sz w:val="24"/>
        </w:rPr>
        <w:t>”</w:t>
      </w:r>
      <w:r>
        <w:rPr>
          <w:rFonts w:ascii="宋体" w:hAnsi="宋体"/>
          <w:bCs/>
          <w:sz w:val="24"/>
        </w:rPr>
        <w:t>在配网、新能源领域的融合应用，强化多源数据的整合与价值挖掘能力；同时布局充电汽车、虚拟电厂等新型用电场景的数据交互与通信网络建设。另外，公司将以能源数字中台为载体，推动 “能源流、信息流</w:t>
      </w:r>
      <w:r>
        <w:rPr>
          <w:rFonts w:hint="eastAsia" w:ascii="宋体" w:hAnsi="宋体"/>
          <w:bCs/>
          <w:sz w:val="24"/>
        </w:rPr>
        <w:t>、</w:t>
      </w:r>
      <w:r>
        <w:rPr>
          <w:rFonts w:ascii="宋体" w:hAnsi="宋体"/>
          <w:bCs/>
          <w:sz w:val="24"/>
        </w:rPr>
        <w:t>业务流” 深度融合，构建面向零碳目标的能源服务生态。</w:t>
      </w:r>
      <w:r>
        <w:rPr>
          <w:rFonts w:ascii="MS Gothic" w:hAnsi="MS Gothic" w:cs="MS Gothic"/>
          <w:bCs/>
          <w:sz w:val="24"/>
        </w:rPr>
        <w:t>​</w:t>
      </w:r>
    </w:p>
    <w:p w14:paraId="54CB585D">
      <w:pPr>
        <w:widowControl/>
        <w:wordWrap w:val="0"/>
        <w:spacing w:line="420" w:lineRule="exact"/>
        <w:ind w:firstLine="480" w:firstLineChars="200"/>
        <w:jc w:val="left"/>
        <w:rPr>
          <w:rFonts w:ascii="宋体" w:hAnsi="宋体" w:cs="Segoe UI"/>
          <w:color w:val="1F2329"/>
          <w:kern w:val="0"/>
          <w:sz w:val="24"/>
        </w:rPr>
      </w:pPr>
      <w:r>
        <w:rPr>
          <w:rFonts w:ascii="宋体" w:hAnsi="宋体"/>
          <w:bCs/>
          <w:sz w:val="24"/>
        </w:rPr>
        <w:t>我们坚信，在政策红利与技术创新的双重驱动下，能源物联网赛道前景广阔，公司有信心凭借在数据采集、分析与通信领域的技术积淀，在新型电力系统建设中把握更多机遇，为行业高质量发展持续创造价值。</w:t>
      </w:r>
    </w:p>
    <w:p w14:paraId="1809D868">
      <w:pPr>
        <w:spacing w:line="360" w:lineRule="auto"/>
        <w:rPr>
          <w:rFonts w:ascii="宋体" w:hAnsi="宋体"/>
          <w:b/>
          <w:sz w:val="24"/>
        </w:rPr>
      </w:pPr>
      <w:bookmarkStart w:id="1" w:name="OLE_LINK3"/>
      <w:bookmarkStart w:id="2" w:name="OLE_LINK2"/>
    </w:p>
    <w:p w14:paraId="4CBFC17B">
      <w:pPr>
        <w:spacing w:line="360" w:lineRule="auto"/>
        <w:ind w:firstLine="482" w:firstLineChars="200"/>
        <w:rPr>
          <w:rFonts w:ascii="宋体" w:hAnsi="宋体"/>
          <w:b/>
          <w:sz w:val="24"/>
        </w:rPr>
      </w:pPr>
      <w:r>
        <w:rPr>
          <w:rFonts w:hint="eastAsia" w:ascii="宋体" w:hAnsi="宋体"/>
          <w:b/>
          <w:sz w:val="24"/>
        </w:rPr>
        <w:t>Q：公司从</w:t>
      </w:r>
      <w:r>
        <w:rPr>
          <w:rFonts w:ascii="宋体" w:hAnsi="宋体"/>
          <w:b/>
          <w:sz w:val="24"/>
        </w:rPr>
        <w:t>业务场景方面来看有哪些增长机会？</w:t>
      </w:r>
    </w:p>
    <w:p w14:paraId="736E7242">
      <w:pPr>
        <w:spacing w:line="360" w:lineRule="auto"/>
        <w:ind w:firstLine="480" w:firstLineChars="200"/>
        <w:rPr>
          <w:rFonts w:ascii="宋体" w:hAnsi="宋体"/>
          <w:sz w:val="24"/>
        </w:rPr>
      </w:pPr>
      <w:r>
        <w:rPr>
          <w:rFonts w:hint="eastAsia" w:ascii="宋体" w:hAnsi="宋体"/>
          <w:sz w:val="24"/>
        </w:rPr>
        <w:t>A</w:t>
      </w:r>
      <w:r>
        <w:rPr>
          <w:rFonts w:ascii="宋体" w:hAnsi="宋体"/>
          <w:sz w:val="24"/>
        </w:rPr>
        <w:t xml:space="preserve">:公司以“物联网+芯片+AI”为核心竞争力，2024年推出近50款创新产品，其中AI垂直应用新产品收入超4 亿元（占新品收入30%），涵盖负荷预测、故障识别等场景。自研的 HPLC/Wi-SUN双模通信芯片通过国家电网认证，市场占有率持续提升；与国家实验室合作研发的内嵌NPU的新型SoC芯片，将适用于智慧配电、透明电网等场景升级。2025年一季度末在手订单结余41亿元，为后续业绩提升也提供了基础。 </w:t>
      </w:r>
    </w:p>
    <w:p w14:paraId="6F22415D">
      <w:pPr>
        <w:spacing w:line="360" w:lineRule="auto"/>
        <w:ind w:firstLine="480" w:firstLineChars="200"/>
        <w:rPr>
          <w:rFonts w:ascii="宋体" w:hAnsi="宋体"/>
          <w:sz w:val="24"/>
        </w:rPr>
      </w:pPr>
      <w:r>
        <w:rPr>
          <w:rFonts w:ascii="宋体" w:hAnsi="宋体"/>
          <w:sz w:val="24"/>
        </w:rPr>
        <w:t xml:space="preserve">在数字电网领域，公司依托电力物联网技术储备和经验，聚焦关键核心技术，为电力系统数字化转型提供多元化解决方案，以“物联网+芯片+人工智能”构建完备的国内国际标准、技术平台、产品体系，助力全球电网数字化与智能化转型，帮助客户实现可持续发展。作为国家电网、南方电网核心供应商，公司在用电信息采集设备领域中标份额稳居行业第一。 </w:t>
      </w:r>
    </w:p>
    <w:p w14:paraId="10328280">
      <w:pPr>
        <w:spacing w:line="360" w:lineRule="auto"/>
        <w:ind w:firstLine="480" w:firstLineChars="200"/>
        <w:rPr>
          <w:rFonts w:ascii="宋体" w:hAnsi="宋体"/>
          <w:sz w:val="24"/>
        </w:rPr>
      </w:pPr>
      <w:r>
        <w:rPr>
          <w:rFonts w:ascii="宋体" w:hAnsi="宋体"/>
          <w:sz w:val="24"/>
        </w:rPr>
        <w:t xml:space="preserve">在数智城市领域，威胜信息以物联网技术重塑能源高效管理，提供综合能源、智慧消防、智慧园区等综合解决方案，服务“双碳”目标，如研发的AI边缘计算网关和智慧安防管理平台，提升了边缘计算与安全管理能力。 </w:t>
      </w:r>
    </w:p>
    <w:p w14:paraId="7CC529C2">
      <w:pPr>
        <w:spacing w:line="360" w:lineRule="auto"/>
        <w:ind w:firstLine="480" w:firstLineChars="200"/>
        <w:rPr>
          <w:rFonts w:ascii="宋体" w:hAnsi="宋体"/>
          <w:sz w:val="24"/>
        </w:rPr>
      </w:pPr>
      <w:r>
        <w:rPr>
          <w:rFonts w:ascii="宋体" w:hAnsi="宋体"/>
          <w:sz w:val="24"/>
        </w:rPr>
        <w:t>在国际市场拓展方面，公司重点布局东盟十国、中东海湾六国和非洲政治稳定经济活跃的新兴市场国家。受全球能源短缺和制造业重构的影响，这些新兴国家在能源电水气基础设施的数字化和智能化是趋势和刚需，对此，公司有丰富而成熟的解决方案，技术路线和产品成熟齐备，技术团队完成少量本地化优化即可满足海外业务发展。</w:t>
      </w:r>
    </w:p>
    <w:p w14:paraId="32DFFFB3">
      <w:pPr>
        <w:spacing w:line="360" w:lineRule="auto"/>
        <w:ind w:firstLine="482" w:firstLineChars="200"/>
        <w:rPr>
          <w:rFonts w:ascii="宋体" w:hAnsi="宋体"/>
          <w:b/>
          <w:bCs/>
          <w:sz w:val="24"/>
        </w:rPr>
      </w:pPr>
    </w:p>
    <w:p w14:paraId="56613232">
      <w:pPr>
        <w:spacing w:line="360" w:lineRule="auto"/>
        <w:ind w:firstLine="482" w:firstLineChars="200"/>
        <w:rPr>
          <w:rFonts w:ascii="宋体" w:hAnsi="宋体"/>
          <w:b/>
          <w:bCs/>
          <w:sz w:val="24"/>
        </w:rPr>
      </w:pPr>
      <w:r>
        <w:rPr>
          <w:rFonts w:hint="eastAsia" w:ascii="宋体" w:hAnsi="宋体"/>
          <w:b/>
          <w:bCs/>
          <w:sz w:val="24"/>
        </w:rPr>
        <w:t>Q</w:t>
      </w:r>
      <w:r>
        <w:rPr>
          <w:rFonts w:ascii="宋体" w:hAnsi="宋体"/>
          <w:b/>
          <w:bCs/>
          <w:sz w:val="24"/>
        </w:rPr>
        <w:t>:</w:t>
      </w:r>
      <w:r>
        <w:rPr>
          <w:rFonts w:hint="eastAsia" w:ascii="宋体" w:hAnsi="宋体"/>
          <w:b/>
          <w:bCs/>
          <w:sz w:val="24"/>
        </w:rPr>
        <w:t>配用电侧是指什么？目前配电网有哪些亟待解决的问题？</w:t>
      </w:r>
    </w:p>
    <w:p w14:paraId="69CF7C88">
      <w:pPr>
        <w:spacing w:line="360" w:lineRule="auto"/>
        <w:ind w:firstLine="480" w:firstLineChars="200"/>
        <w:rPr>
          <w:rFonts w:ascii="宋体" w:hAnsi="宋体"/>
          <w:sz w:val="24"/>
        </w:rPr>
      </w:pPr>
      <w:r>
        <w:rPr>
          <w:rFonts w:hint="eastAsia" w:ascii="宋体" w:hAnsi="宋体"/>
          <w:sz w:val="24"/>
        </w:rPr>
        <w:t>A: 电网可分为发、输、配、用等环节。发电厂生产出电能，经变电、输电及配电等环节配送到用户，从而完成电能从生产到消费的整个过程，发电环节与用户环节之间的网络及设备即为电网。其中输电主要用于电力输送，通常为</w:t>
      </w:r>
      <w:r>
        <w:rPr>
          <w:rFonts w:ascii="宋体" w:hAnsi="宋体"/>
          <w:sz w:val="24"/>
        </w:rPr>
        <w:t xml:space="preserve"> 220kV 以上的高</w:t>
      </w:r>
      <w:r>
        <w:rPr>
          <w:rFonts w:hint="eastAsia" w:ascii="宋体" w:hAnsi="宋体"/>
          <w:sz w:val="24"/>
        </w:rPr>
        <w:t>压；配电主要用于电力分配，配电网按电压等级的不同，可又分为高压配电网</w:t>
      </w:r>
      <w:r>
        <w:rPr>
          <w:rFonts w:ascii="宋体" w:hAnsi="宋体"/>
          <w:sz w:val="24"/>
        </w:rPr>
        <w:t>(110kV、35kV)、中压配电网(20kV、10kV、6kV、3kV)和低压配电网(220V/380V)。</w:t>
      </w:r>
      <w:r>
        <w:rPr>
          <w:rFonts w:hint="eastAsia" w:ascii="宋体" w:hAnsi="宋体"/>
          <w:sz w:val="24"/>
        </w:rPr>
        <w:t>智能配用电业务即为公司的优势及深耕业务。</w:t>
      </w:r>
    </w:p>
    <w:p w14:paraId="57E95B7A">
      <w:pPr>
        <w:spacing w:line="360" w:lineRule="auto"/>
        <w:ind w:firstLine="480" w:firstLineChars="200"/>
        <w:rPr>
          <w:rFonts w:ascii="宋体" w:hAnsi="宋体"/>
          <w:sz w:val="24"/>
        </w:rPr>
      </w:pPr>
      <w:r>
        <w:rPr>
          <w:rFonts w:hint="eastAsia" w:ascii="宋体" w:hAnsi="宋体"/>
          <w:sz w:val="24"/>
        </w:rPr>
        <w:t>当下随着</w:t>
      </w:r>
      <w:r>
        <w:rPr>
          <w:rFonts w:ascii="宋体" w:hAnsi="宋体"/>
          <w:sz w:val="24"/>
        </w:rPr>
        <w:t>新型电力系统建设推进下</w:t>
      </w:r>
      <w:r>
        <w:rPr>
          <w:rFonts w:hint="eastAsia" w:ascii="宋体" w:hAnsi="宋体"/>
          <w:sz w:val="24"/>
        </w:rPr>
        <w:t>，</w:t>
      </w:r>
      <w:r>
        <w:rPr>
          <w:rFonts w:ascii="宋体" w:hAnsi="宋体"/>
          <w:sz w:val="24"/>
        </w:rPr>
        <w:t>我国配电网还存在以下现状</w:t>
      </w:r>
      <w:r>
        <w:rPr>
          <w:rFonts w:hint="eastAsia" w:ascii="宋体" w:hAnsi="宋体"/>
          <w:sz w:val="24"/>
        </w:rPr>
        <w:t>：1</w:t>
      </w:r>
      <w:r>
        <w:rPr>
          <w:rFonts w:ascii="宋体" w:hAnsi="宋体"/>
          <w:sz w:val="24"/>
        </w:rPr>
        <w:t>）从电源侧来说，随着新能源大量增加，微电网、有源配电网</w:t>
      </w:r>
      <w:r>
        <w:rPr>
          <w:rFonts w:hint="eastAsia" w:ascii="宋体" w:hAnsi="宋体"/>
          <w:sz w:val="24"/>
        </w:rPr>
        <w:t>等新形态电网与大电网协同发展有利于新能源消纳，同时对配电网发展提出了新的要求；2</w:t>
      </w:r>
      <w:r>
        <w:rPr>
          <w:rFonts w:ascii="宋体" w:hAnsi="宋体"/>
          <w:sz w:val="24"/>
        </w:rPr>
        <w:t>）从负荷侧来说，新型电力系统下充电桩、用户侧储能等新型负荷大量</w:t>
      </w:r>
      <w:r>
        <w:rPr>
          <w:rFonts w:hint="eastAsia" w:ascii="宋体" w:hAnsi="宋体"/>
          <w:sz w:val="24"/>
        </w:rPr>
        <w:t>增加，控制复杂度大幅上升，需要加强配用电侧智能化、信息化提出更高要求；3）</w:t>
      </w:r>
      <w:r>
        <w:rPr>
          <w:rFonts w:ascii="宋体" w:hAnsi="宋体"/>
          <w:sz w:val="24"/>
        </w:rPr>
        <w:t>建设坚强电网，提高用电可靠性，尤其是针对偏远地区和农村配电网还有</w:t>
      </w:r>
      <w:r>
        <w:rPr>
          <w:rFonts w:hint="eastAsia" w:ascii="宋体" w:hAnsi="宋体"/>
          <w:sz w:val="24"/>
        </w:rPr>
        <w:t xml:space="preserve">较大提升空间。   </w:t>
      </w:r>
    </w:p>
    <w:p w14:paraId="2E672AA4">
      <w:pPr>
        <w:spacing w:line="360" w:lineRule="auto"/>
        <w:ind w:firstLine="480" w:firstLineChars="200"/>
        <w:rPr>
          <w:rFonts w:ascii="宋体" w:hAnsi="宋体"/>
          <w:sz w:val="24"/>
        </w:rPr>
      </w:pPr>
      <w:r>
        <w:rPr>
          <w:rFonts w:hint="eastAsia" w:ascii="宋体" w:hAnsi="宋体"/>
          <w:sz w:val="24"/>
        </w:rPr>
        <w:t>公司业务与新型电力系统建设趋势是相互契合的，重点布局配电网和负荷侧，通过能源物联网应用技术、芯片设计与通信技术、A</w:t>
      </w:r>
      <w:r>
        <w:rPr>
          <w:rFonts w:ascii="宋体" w:hAnsi="宋体"/>
          <w:sz w:val="24"/>
        </w:rPr>
        <w:t>I</w:t>
      </w:r>
      <w:r>
        <w:rPr>
          <w:rFonts w:hint="eastAsia" w:ascii="宋体" w:hAnsi="宋体"/>
          <w:sz w:val="24"/>
        </w:rPr>
        <w:t>技术为客户提供各类电力应用场景的综合解决方案。</w:t>
      </w:r>
    </w:p>
    <w:p w14:paraId="46DBAED1">
      <w:pPr>
        <w:spacing w:line="360" w:lineRule="auto"/>
        <w:rPr>
          <w:rFonts w:ascii="宋体" w:hAnsi="宋体"/>
          <w:bCs/>
          <w:sz w:val="24"/>
        </w:rPr>
      </w:pPr>
    </w:p>
    <w:p w14:paraId="74CE6E93">
      <w:pPr>
        <w:spacing w:line="360" w:lineRule="auto"/>
        <w:ind w:firstLine="482" w:firstLineChars="200"/>
        <w:rPr>
          <w:rFonts w:ascii="宋体" w:hAnsi="宋体"/>
          <w:b/>
          <w:bCs/>
          <w:sz w:val="24"/>
        </w:rPr>
      </w:pPr>
      <w:r>
        <w:rPr>
          <w:rFonts w:hint="eastAsia" w:ascii="宋体" w:hAnsi="宋体"/>
          <w:b/>
          <w:bCs/>
          <w:sz w:val="24"/>
        </w:rPr>
        <w:t>Q</w:t>
      </w:r>
      <w:r>
        <w:rPr>
          <w:rFonts w:ascii="宋体" w:hAnsi="宋体"/>
          <w:b/>
          <w:bCs/>
          <w:sz w:val="24"/>
        </w:rPr>
        <w:t>:公司最新的分红和回购情况</w:t>
      </w:r>
      <w:r>
        <w:rPr>
          <w:rFonts w:hint="eastAsia" w:ascii="宋体" w:hAnsi="宋体"/>
          <w:b/>
          <w:bCs/>
          <w:sz w:val="24"/>
        </w:rPr>
        <w:t>？</w:t>
      </w:r>
    </w:p>
    <w:p w14:paraId="2E74F7C3">
      <w:pPr>
        <w:widowControl/>
        <w:tabs>
          <w:tab w:val="left" w:pos="720"/>
        </w:tabs>
        <w:wordWrap w:val="0"/>
        <w:spacing w:line="420" w:lineRule="exact"/>
        <w:ind w:firstLine="480" w:firstLineChars="200"/>
        <w:jc w:val="left"/>
        <w:rPr>
          <w:rFonts w:ascii="宋体" w:hAnsi="宋体"/>
          <w:bCs/>
          <w:sz w:val="24"/>
        </w:rPr>
      </w:pPr>
      <w:r>
        <w:rPr>
          <w:rFonts w:hint="eastAsia" w:ascii="宋体" w:hAnsi="宋体"/>
          <w:bCs/>
          <w:sz w:val="24"/>
        </w:rPr>
        <w:t>A</w:t>
      </w:r>
      <w:r>
        <w:rPr>
          <w:rFonts w:ascii="宋体" w:hAnsi="宋体"/>
          <w:bCs/>
          <w:sz w:val="24"/>
        </w:rPr>
        <w:t>:</w:t>
      </w:r>
      <w:r>
        <w:rPr>
          <w:rFonts w:hint="eastAsia" w:ascii="宋体" w:hAnsi="宋体"/>
          <w:bCs/>
          <w:sz w:val="24"/>
        </w:rPr>
        <w:t>公司自上市以来将累计派发现金红利9.58亿，同时回购注销股份约2亿元，合计现金分红已达11.6亿元。远大于上市募集资，同时公司拟计划未来五年基准现金分红派息率 40%。</w:t>
      </w:r>
    </w:p>
    <w:p w14:paraId="5851BF24">
      <w:pPr>
        <w:widowControl/>
        <w:tabs>
          <w:tab w:val="left" w:pos="720"/>
        </w:tabs>
        <w:wordWrap w:val="0"/>
        <w:spacing w:line="420" w:lineRule="exact"/>
        <w:ind w:firstLine="480" w:firstLineChars="200"/>
        <w:jc w:val="left"/>
        <w:rPr>
          <w:rFonts w:ascii="宋体" w:hAnsi="宋体"/>
          <w:bCs/>
          <w:sz w:val="24"/>
        </w:rPr>
      </w:pPr>
      <w:r>
        <w:rPr>
          <w:rFonts w:hint="eastAsia" w:ascii="宋体" w:hAnsi="宋体"/>
          <w:bCs/>
          <w:sz w:val="24"/>
        </w:rPr>
        <w:t>截至2024年，已累计回购1231万股，回购金额约3亿元。今年1月，再次推出二次回购计划，拟回购1-1.5亿元股份，截至6月30日已回购358.64万股，回购金额达1.28亿元。充分彰显了公司对未来发展的信心和对股东回报的重视。</w:t>
      </w:r>
      <w:bookmarkEnd w:id="1"/>
      <w:bookmarkEnd w:id="2"/>
    </w:p>
    <w:p w14:paraId="1D516142">
      <w:pPr>
        <w:widowControl/>
        <w:wordWrap w:val="0"/>
        <w:spacing w:line="420" w:lineRule="exact"/>
        <w:jc w:val="left"/>
        <w:rPr>
          <w:rFonts w:ascii="宋体" w:hAnsi="宋体"/>
          <w:bCs/>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28584"/>
    </w:sdtPr>
    <w:sdtContent>
      <w:p w14:paraId="5AA821A7">
        <w:pPr>
          <w:pStyle w:val="10"/>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E719B"/>
    <w:multiLevelType w:val="multilevel"/>
    <w:tmpl w:val="62AE719B"/>
    <w:lvl w:ilvl="0" w:tentative="0">
      <w:start w:val="1"/>
      <w:numFmt w:val="japaneseCounting"/>
      <w:lvlText w:val="%1、"/>
      <w:lvlJc w:val="left"/>
      <w:pPr>
        <w:ind w:left="1216" w:hanging="720"/>
      </w:pPr>
      <w:rPr>
        <w:rFonts w:hint="default"/>
        <w:lang w:val="en-US"/>
      </w:rPr>
    </w:lvl>
    <w:lvl w:ilvl="1" w:tentative="0">
      <w:start w:val="1"/>
      <w:numFmt w:val="lowerLetter"/>
      <w:lvlText w:val="%2)"/>
      <w:lvlJc w:val="left"/>
      <w:pPr>
        <w:ind w:left="1336" w:hanging="420"/>
      </w:pPr>
    </w:lvl>
    <w:lvl w:ilvl="2" w:tentative="0">
      <w:start w:val="1"/>
      <w:numFmt w:val="lowerRoman"/>
      <w:lvlText w:val="%3."/>
      <w:lvlJc w:val="right"/>
      <w:pPr>
        <w:ind w:left="1756" w:hanging="420"/>
      </w:pPr>
    </w:lvl>
    <w:lvl w:ilvl="3" w:tentative="0">
      <w:start w:val="1"/>
      <w:numFmt w:val="decimal"/>
      <w:lvlText w:val="%4."/>
      <w:lvlJc w:val="left"/>
      <w:pPr>
        <w:ind w:left="2176" w:hanging="420"/>
      </w:pPr>
    </w:lvl>
    <w:lvl w:ilvl="4" w:tentative="0">
      <w:start w:val="1"/>
      <w:numFmt w:val="lowerLetter"/>
      <w:lvlText w:val="%5)"/>
      <w:lvlJc w:val="left"/>
      <w:pPr>
        <w:ind w:left="2596" w:hanging="420"/>
      </w:pPr>
    </w:lvl>
    <w:lvl w:ilvl="5" w:tentative="0">
      <w:start w:val="1"/>
      <w:numFmt w:val="lowerRoman"/>
      <w:lvlText w:val="%6."/>
      <w:lvlJc w:val="right"/>
      <w:pPr>
        <w:ind w:left="3016" w:hanging="420"/>
      </w:pPr>
    </w:lvl>
    <w:lvl w:ilvl="6" w:tentative="0">
      <w:start w:val="1"/>
      <w:numFmt w:val="decimal"/>
      <w:lvlText w:val="%7."/>
      <w:lvlJc w:val="left"/>
      <w:pPr>
        <w:ind w:left="3436" w:hanging="420"/>
      </w:pPr>
    </w:lvl>
    <w:lvl w:ilvl="7" w:tentative="0">
      <w:start w:val="1"/>
      <w:numFmt w:val="lowerLetter"/>
      <w:lvlText w:val="%8)"/>
      <w:lvlJc w:val="left"/>
      <w:pPr>
        <w:ind w:left="3856" w:hanging="420"/>
      </w:pPr>
    </w:lvl>
    <w:lvl w:ilvl="8" w:tentative="0">
      <w:start w:val="1"/>
      <w:numFmt w:val="lowerRoman"/>
      <w:lvlText w:val="%9."/>
      <w:lvlJc w:val="right"/>
      <w:pPr>
        <w:ind w:left="42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98"/>
    <w:rsid w:val="000017B4"/>
    <w:rsid w:val="00002A46"/>
    <w:rsid w:val="000053AF"/>
    <w:rsid w:val="0000583C"/>
    <w:rsid w:val="00006986"/>
    <w:rsid w:val="00006D44"/>
    <w:rsid w:val="00010F84"/>
    <w:rsid w:val="000118C7"/>
    <w:rsid w:val="00012154"/>
    <w:rsid w:val="00012F86"/>
    <w:rsid w:val="000179CC"/>
    <w:rsid w:val="00021286"/>
    <w:rsid w:val="00031257"/>
    <w:rsid w:val="0003221B"/>
    <w:rsid w:val="0003287C"/>
    <w:rsid w:val="00035C82"/>
    <w:rsid w:val="00036B91"/>
    <w:rsid w:val="000379FC"/>
    <w:rsid w:val="0004009F"/>
    <w:rsid w:val="00041AA4"/>
    <w:rsid w:val="000460F4"/>
    <w:rsid w:val="000465BE"/>
    <w:rsid w:val="00050564"/>
    <w:rsid w:val="00051218"/>
    <w:rsid w:val="00053E85"/>
    <w:rsid w:val="00053FE4"/>
    <w:rsid w:val="000559A7"/>
    <w:rsid w:val="000619A7"/>
    <w:rsid w:val="00061AF6"/>
    <w:rsid w:val="0006525A"/>
    <w:rsid w:val="000657A5"/>
    <w:rsid w:val="00065FD3"/>
    <w:rsid w:val="00067C47"/>
    <w:rsid w:val="0007247D"/>
    <w:rsid w:val="00073DB5"/>
    <w:rsid w:val="000747E3"/>
    <w:rsid w:val="000748A0"/>
    <w:rsid w:val="0007591A"/>
    <w:rsid w:val="00075A6C"/>
    <w:rsid w:val="00076A73"/>
    <w:rsid w:val="00077069"/>
    <w:rsid w:val="00081B64"/>
    <w:rsid w:val="00081EA4"/>
    <w:rsid w:val="00082BC8"/>
    <w:rsid w:val="0008574A"/>
    <w:rsid w:val="00086EC0"/>
    <w:rsid w:val="00087A0F"/>
    <w:rsid w:val="00091447"/>
    <w:rsid w:val="00091CAF"/>
    <w:rsid w:val="00094375"/>
    <w:rsid w:val="00094913"/>
    <w:rsid w:val="00094B28"/>
    <w:rsid w:val="000952F0"/>
    <w:rsid w:val="00096A0F"/>
    <w:rsid w:val="00096C11"/>
    <w:rsid w:val="000978D6"/>
    <w:rsid w:val="0009798E"/>
    <w:rsid w:val="000A4886"/>
    <w:rsid w:val="000A6B1D"/>
    <w:rsid w:val="000B180F"/>
    <w:rsid w:val="000B4559"/>
    <w:rsid w:val="000C2C0E"/>
    <w:rsid w:val="000C2E6E"/>
    <w:rsid w:val="000C4844"/>
    <w:rsid w:val="000C5BC6"/>
    <w:rsid w:val="000C61F0"/>
    <w:rsid w:val="000D1826"/>
    <w:rsid w:val="000D25AB"/>
    <w:rsid w:val="000D2ED8"/>
    <w:rsid w:val="000D3B20"/>
    <w:rsid w:val="000D3BBD"/>
    <w:rsid w:val="000D5DB2"/>
    <w:rsid w:val="000D61E9"/>
    <w:rsid w:val="000D6676"/>
    <w:rsid w:val="000D67DE"/>
    <w:rsid w:val="000D6ED2"/>
    <w:rsid w:val="000E4CA1"/>
    <w:rsid w:val="000F02B5"/>
    <w:rsid w:val="000F07FD"/>
    <w:rsid w:val="000F0A2D"/>
    <w:rsid w:val="000F177B"/>
    <w:rsid w:val="000F6448"/>
    <w:rsid w:val="000F729B"/>
    <w:rsid w:val="000F75CB"/>
    <w:rsid w:val="000F776B"/>
    <w:rsid w:val="001002CE"/>
    <w:rsid w:val="00100AC0"/>
    <w:rsid w:val="00101D3B"/>
    <w:rsid w:val="001023A7"/>
    <w:rsid w:val="00104CD8"/>
    <w:rsid w:val="001125A9"/>
    <w:rsid w:val="00115F72"/>
    <w:rsid w:val="00116967"/>
    <w:rsid w:val="00122EE2"/>
    <w:rsid w:val="00130A4D"/>
    <w:rsid w:val="001328FA"/>
    <w:rsid w:val="00135B5C"/>
    <w:rsid w:val="0014192B"/>
    <w:rsid w:val="001420AE"/>
    <w:rsid w:val="00142B3E"/>
    <w:rsid w:val="001438E2"/>
    <w:rsid w:val="0014504E"/>
    <w:rsid w:val="00146059"/>
    <w:rsid w:val="0015283C"/>
    <w:rsid w:val="00154F2B"/>
    <w:rsid w:val="0015580F"/>
    <w:rsid w:val="00155F8A"/>
    <w:rsid w:val="00165654"/>
    <w:rsid w:val="00170E44"/>
    <w:rsid w:val="00172D3D"/>
    <w:rsid w:val="001747D5"/>
    <w:rsid w:val="00175541"/>
    <w:rsid w:val="001758A3"/>
    <w:rsid w:val="00175A4B"/>
    <w:rsid w:val="00176B6C"/>
    <w:rsid w:val="00177245"/>
    <w:rsid w:val="00180691"/>
    <w:rsid w:val="001809CA"/>
    <w:rsid w:val="001836D1"/>
    <w:rsid w:val="001904BB"/>
    <w:rsid w:val="00191D34"/>
    <w:rsid w:val="00192240"/>
    <w:rsid w:val="0019259D"/>
    <w:rsid w:val="0019529F"/>
    <w:rsid w:val="00196C69"/>
    <w:rsid w:val="001A0F73"/>
    <w:rsid w:val="001A267B"/>
    <w:rsid w:val="001A30F8"/>
    <w:rsid w:val="001A3E85"/>
    <w:rsid w:val="001A48B4"/>
    <w:rsid w:val="001A55CC"/>
    <w:rsid w:val="001A5BA4"/>
    <w:rsid w:val="001A623D"/>
    <w:rsid w:val="001A62EB"/>
    <w:rsid w:val="001A68D9"/>
    <w:rsid w:val="001A6AB3"/>
    <w:rsid w:val="001A7613"/>
    <w:rsid w:val="001B05AB"/>
    <w:rsid w:val="001B132A"/>
    <w:rsid w:val="001B329E"/>
    <w:rsid w:val="001B33FD"/>
    <w:rsid w:val="001B4998"/>
    <w:rsid w:val="001B6C90"/>
    <w:rsid w:val="001B74B4"/>
    <w:rsid w:val="001B7E14"/>
    <w:rsid w:val="001C1F07"/>
    <w:rsid w:val="001C39D9"/>
    <w:rsid w:val="001C418A"/>
    <w:rsid w:val="001C42BD"/>
    <w:rsid w:val="001C6192"/>
    <w:rsid w:val="001C638E"/>
    <w:rsid w:val="001D2857"/>
    <w:rsid w:val="001D4B0E"/>
    <w:rsid w:val="001D4E48"/>
    <w:rsid w:val="001D64CA"/>
    <w:rsid w:val="001D75A4"/>
    <w:rsid w:val="001E33D6"/>
    <w:rsid w:val="001E3445"/>
    <w:rsid w:val="001E3568"/>
    <w:rsid w:val="001E3EBF"/>
    <w:rsid w:val="001E46F8"/>
    <w:rsid w:val="001E6390"/>
    <w:rsid w:val="001E79A4"/>
    <w:rsid w:val="001F1F35"/>
    <w:rsid w:val="001F375F"/>
    <w:rsid w:val="001F5195"/>
    <w:rsid w:val="001F63E1"/>
    <w:rsid w:val="00201E92"/>
    <w:rsid w:val="002028B1"/>
    <w:rsid w:val="00203A83"/>
    <w:rsid w:val="0020595F"/>
    <w:rsid w:val="00211B7B"/>
    <w:rsid w:val="00214FE4"/>
    <w:rsid w:val="00217DCB"/>
    <w:rsid w:val="00220D28"/>
    <w:rsid w:val="00225A6D"/>
    <w:rsid w:val="00226DB6"/>
    <w:rsid w:val="00230F04"/>
    <w:rsid w:val="002362C9"/>
    <w:rsid w:val="00236B49"/>
    <w:rsid w:val="002407FE"/>
    <w:rsid w:val="00242B0F"/>
    <w:rsid w:val="002440BE"/>
    <w:rsid w:val="00244715"/>
    <w:rsid w:val="00244B12"/>
    <w:rsid w:val="00245BF1"/>
    <w:rsid w:val="00245C8E"/>
    <w:rsid w:val="00245DFD"/>
    <w:rsid w:val="00254272"/>
    <w:rsid w:val="00255B76"/>
    <w:rsid w:val="002564A3"/>
    <w:rsid w:val="00257DD4"/>
    <w:rsid w:val="00257F31"/>
    <w:rsid w:val="0026312D"/>
    <w:rsid w:val="00264107"/>
    <w:rsid w:val="0026765E"/>
    <w:rsid w:val="00267D9F"/>
    <w:rsid w:val="00275D88"/>
    <w:rsid w:val="002814F4"/>
    <w:rsid w:val="002861B7"/>
    <w:rsid w:val="00290C4F"/>
    <w:rsid w:val="002A4620"/>
    <w:rsid w:val="002A64C7"/>
    <w:rsid w:val="002A6E38"/>
    <w:rsid w:val="002B1506"/>
    <w:rsid w:val="002B5CD8"/>
    <w:rsid w:val="002B6E51"/>
    <w:rsid w:val="002B6EB3"/>
    <w:rsid w:val="002C238E"/>
    <w:rsid w:val="002C2F8F"/>
    <w:rsid w:val="002C540A"/>
    <w:rsid w:val="002C5C59"/>
    <w:rsid w:val="002C6142"/>
    <w:rsid w:val="002C76E4"/>
    <w:rsid w:val="002D0C22"/>
    <w:rsid w:val="002D129C"/>
    <w:rsid w:val="002D4481"/>
    <w:rsid w:val="002D4A1C"/>
    <w:rsid w:val="002D5516"/>
    <w:rsid w:val="002D665F"/>
    <w:rsid w:val="002E150F"/>
    <w:rsid w:val="002E1A03"/>
    <w:rsid w:val="002E242F"/>
    <w:rsid w:val="002E399A"/>
    <w:rsid w:val="002F19C1"/>
    <w:rsid w:val="002F51EA"/>
    <w:rsid w:val="002F72AD"/>
    <w:rsid w:val="00300057"/>
    <w:rsid w:val="00300AB6"/>
    <w:rsid w:val="00301907"/>
    <w:rsid w:val="0030509D"/>
    <w:rsid w:val="00305906"/>
    <w:rsid w:val="003069CF"/>
    <w:rsid w:val="00307BF8"/>
    <w:rsid w:val="00310EDE"/>
    <w:rsid w:val="003111F7"/>
    <w:rsid w:val="00314B5F"/>
    <w:rsid w:val="00315318"/>
    <w:rsid w:val="00316AE0"/>
    <w:rsid w:val="003215DA"/>
    <w:rsid w:val="003240B3"/>
    <w:rsid w:val="00325933"/>
    <w:rsid w:val="00327C23"/>
    <w:rsid w:val="00330B7B"/>
    <w:rsid w:val="00332C8A"/>
    <w:rsid w:val="00344487"/>
    <w:rsid w:val="00344715"/>
    <w:rsid w:val="003455A2"/>
    <w:rsid w:val="003471C6"/>
    <w:rsid w:val="00347FE2"/>
    <w:rsid w:val="0035208F"/>
    <w:rsid w:val="00353B4A"/>
    <w:rsid w:val="00355707"/>
    <w:rsid w:val="00360466"/>
    <w:rsid w:val="00362CA0"/>
    <w:rsid w:val="00364094"/>
    <w:rsid w:val="00366610"/>
    <w:rsid w:val="00367B4A"/>
    <w:rsid w:val="003703CB"/>
    <w:rsid w:val="00372E76"/>
    <w:rsid w:val="0037325A"/>
    <w:rsid w:val="00374FEE"/>
    <w:rsid w:val="00375765"/>
    <w:rsid w:val="00375F96"/>
    <w:rsid w:val="003801B6"/>
    <w:rsid w:val="00380A58"/>
    <w:rsid w:val="00380CEF"/>
    <w:rsid w:val="00382AF1"/>
    <w:rsid w:val="00387CEC"/>
    <w:rsid w:val="0039075C"/>
    <w:rsid w:val="00392B90"/>
    <w:rsid w:val="00394C3B"/>
    <w:rsid w:val="00397464"/>
    <w:rsid w:val="003A24BF"/>
    <w:rsid w:val="003A4F04"/>
    <w:rsid w:val="003A6D50"/>
    <w:rsid w:val="003B0712"/>
    <w:rsid w:val="003B1C9B"/>
    <w:rsid w:val="003B3E1D"/>
    <w:rsid w:val="003B4D45"/>
    <w:rsid w:val="003B69BE"/>
    <w:rsid w:val="003B6A4A"/>
    <w:rsid w:val="003B784A"/>
    <w:rsid w:val="003C0608"/>
    <w:rsid w:val="003C2264"/>
    <w:rsid w:val="003C368A"/>
    <w:rsid w:val="003C4B59"/>
    <w:rsid w:val="003C4D2E"/>
    <w:rsid w:val="003C4E4B"/>
    <w:rsid w:val="003C7CA8"/>
    <w:rsid w:val="003D04C6"/>
    <w:rsid w:val="003D191B"/>
    <w:rsid w:val="003D22D6"/>
    <w:rsid w:val="003D3BEC"/>
    <w:rsid w:val="003D5E4B"/>
    <w:rsid w:val="003D6BCA"/>
    <w:rsid w:val="003E0A70"/>
    <w:rsid w:val="003E2709"/>
    <w:rsid w:val="003E2EE0"/>
    <w:rsid w:val="003E4552"/>
    <w:rsid w:val="003E4DDE"/>
    <w:rsid w:val="003E4E24"/>
    <w:rsid w:val="003E5ADA"/>
    <w:rsid w:val="003F0B55"/>
    <w:rsid w:val="003F4EF1"/>
    <w:rsid w:val="003F50A5"/>
    <w:rsid w:val="003F6B4E"/>
    <w:rsid w:val="003F77DF"/>
    <w:rsid w:val="00401D02"/>
    <w:rsid w:val="0040361D"/>
    <w:rsid w:val="00404CCE"/>
    <w:rsid w:val="00405AB7"/>
    <w:rsid w:val="00412718"/>
    <w:rsid w:val="00413E22"/>
    <w:rsid w:val="00417B0D"/>
    <w:rsid w:val="00422076"/>
    <w:rsid w:val="00422853"/>
    <w:rsid w:val="00423D81"/>
    <w:rsid w:val="00425FF5"/>
    <w:rsid w:val="00426EC4"/>
    <w:rsid w:val="004315F2"/>
    <w:rsid w:val="004323F6"/>
    <w:rsid w:val="00434ED2"/>
    <w:rsid w:val="00436817"/>
    <w:rsid w:val="004410D1"/>
    <w:rsid w:val="00446D7C"/>
    <w:rsid w:val="00451B68"/>
    <w:rsid w:val="00451D60"/>
    <w:rsid w:val="00454DD4"/>
    <w:rsid w:val="00455FE2"/>
    <w:rsid w:val="0045664D"/>
    <w:rsid w:val="00460DED"/>
    <w:rsid w:val="00461CE3"/>
    <w:rsid w:val="004663BA"/>
    <w:rsid w:val="00467728"/>
    <w:rsid w:val="004707C3"/>
    <w:rsid w:val="00473182"/>
    <w:rsid w:val="0047646D"/>
    <w:rsid w:val="0048039F"/>
    <w:rsid w:val="004813B0"/>
    <w:rsid w:val="00483E2E"/>
    <w:rsid w:val="00487EEB"/>
    <w:rsid w:val="004914E5"/>
    <w:rsid w:val="004943BD"/>
    <w:rsid w:val="004944EC"/>
    <w:rsid w:val="00495530"/>
    <w:rsid w:val="004A47C8"/>
    <w:rsid w:val="004A486B"/>
    <w:rsid w:val="004A508E"/>
    <w:rsid w:val="004A7D16"/>
    <w:rsid w:val="004B01F3"/>
    <w:rsid w:val="004B127A"/>
    <w:rsid w:val="004B5E49"/>
    <w:rsid w:val="004B7B0F"/>
    <w:rsid w:val="004C17B7"/>
    <w:rsid w:val="004C4E01"/>
    <w:rsid w:val="004C5CB4"/>
    <w:rsid w:val="004C71E7"/>
    <w:rsid w:val="004C741A"/>
    <w:rsid w:val="004C7ED7"/>
    <w:rsid w:val="004D1B9E"/>
    <w:rsid w:val="004D1F28"/>
    <w:rsid w:val="004D2403"/>
    <w:rsid w:val="004D24B6"/>
    <w:rsid w:val="004D4340"/>
    <w:rsid w:val="004D62BB"/>
    <w:rsid w:val="004D6DC1"/>
    <w:rsid w:val="004E3254"/>
    <w:rsid w:val="004E4DEA"/>
    <w:rsid w:val="004E4F03"/>
    <w:rsid w:val="004E6A4A"/>
    <w:rsid w:val="004E6B3D"/>
    <w:rsid w:val="004F07D0"/>
    <w:rsid w:val="004F0EE5"/>
    <w:rsid w:val="004F15DD"/>
    <w:rsid w:val="004F3E88"/>
    <w:rsid w:val="004F3F77"/>
    <w:rsid w:val="004F48E2"/>
    <w:rsid w:val="004F54C5"/>
    <w:rsid w:val="004F7CD4"/>
    <w:rsid w:val="0050028D"/>
    <w:rsid w:val="00500F85"/>
    <w:rsid w:val="005014E3"/>
    <w:rsid w:val="0050319B"/>
    <w:rsid w:val="005032B1"/>
    <w:rsid w:val="00505E8E"/>
    <w:rsid w:val="005071C2"/>
    <w:rsid w:val="005108D6"/>
    <w:rsid w:val="0051103A"/>
    <w:rsid w:val="005112E9"/>
    <w:rsid w:val="00511423"/>
    <w:rsid w:val="00511532"/>
    <w:rsid w:val="00511A45"/>
    <w:rsid w:val="00511C79"/>
    <w:rsid w:val="005127CE"/>
    <w:rsid w:val="00512965"/>
    <w:rsid w:val="005138E9"/>
    <w:rsid w:val="00514EAA"/>
    <w:rsid w:val="00515908"/>
    <w:rsid w:val="00517FCD"/>
    <w:rsid w:val="0052019A"/>
    <w:rsid w:val="005207DA"/>
    <w:rsid w:val="00522093"/>
    <w:rsid w:val="00522CFB"/>
    <w:rsid w:val="00524124"/>
    <w:rsid w:val="0052599E"/>
    <w:rsid w:val="005333B6"/>
    <w:rsid w:val="00533817"/>
    <w:rsid w:val="0053511E"/>
    <w:rsid w:val="00537A42"/>
    <w:rsid w:val="00541D54"/>
    <w:rsid w:val="005431E5"/>
    <w:rsid w:val="005452F7"/>
    <w:rsid w:val="00547E96"/>
    <w:rsid w:val="00551759"/>
    <w:rsid w:val="00552B23"/>
    <w:rsid w:val="00552F26"/>
    <w:rsid w:val="00556590"/>
    <w:rsid w:val="005579AA"/>
    <w:rsid w:val="00561BC1"/>
    <w:rsid w:val="00563D2A"/>
    <w:rsid w:val="00565A15"/>
    <w:rsid w:val="00566357"/>
    <w:rsid w:val="0056717F"/>
    <w:rsid w:val="0056737D"/>
    <w:rsid w:val="0057021E"/>
    <w:rsid w:val="00571BB4"/>
    <w:rsid w:val="00571EB7"/>
    <w:rsid w:val="00575216"/>
    <w:rsid w:val="0058129D"/>
    <w:rsid w:val="00582D00"/>
    <w:rsid w:val="005839AF"/>
    <w:rsid w:val="00587E9F"/>
    <w:rsid w:val="005900D8"/>
    <w:rsid w:val="00590293"/>
    <w:rsid w:val="00592D9A"/>
    <w:rsid w:val="00594CD1"/>
    <w:rsid w:val="005950CE"/>
    <w:rsid w:val="005A0411"/>
    <w:rsid w:val="005A276F"/>
    <w:rsid w:val="005A4E45"/>
    <w:rsid w:val="005A6051"/>
    <w:rsid w:val="005A66E9"/>
    <w:rsid w:val="005A730A"/>
    <w:rsid w:val="005B099D"/>
    <w:rsid w:val="005B1959"/>
    <w:rsid w:val="005B2AF9"/>
    <w:rsid w:val="005B4606"/>
    <w:rsid w:val="005B63B3"/>
    <w:rsid w:val="005B76AB"/>
    <w:rsid w:val="005B7C97"/>
    <w:rsid w:val="005C0213"/>
    <w:rsid w:val="005C1314"/>
    <w:rsid w:val="005C2BEB"/>
    <w:rsid w:val="005C39F3"/>
    <w:rsid w:val="005C3DA6"/>
    <w:rsid w:val="005C4103"/>
    <w:rsid w:val="005C6D5D"/>
    <w:rsid w:val="005D197E"/>
    <w:rsid w:val="005D374E"/>
    <w:rsid w:val="005D4501"/>
    <w:rsid w:val="005D474C"/>
    <w:rsid w:val="005D5269"/>
    <w:rsid w:val="005E0482"/>
    <w:rsid w:val="005E04CE"/>
    <w:rsid w:val="005E24EA"/>
    <w:rsid w:val="005E3FAA"/>
    <w:rsid w:val="005E431B"/>
    <w:rsid w:val="005E49E4"/>
    <w:rsid w:val="005E59D5"/>
    <w:rsid w:val="005E6712"/>
    <w:rsid w:val="005E6B2D"/>
    <w:rsid w:val="005E7A65"/>
    <w:rsid w:val="005F2D5F"/>
    <w:rsid w:val="005F3044"/>
    <w:rsid w:val="005F5673"/>
    <w:rsid w:val="00600266"/>
    <w:rsid w:val="006003B2"/>
    <w:rsid w:val="006057A4"/>
    <w:rsid w:val="00605DA4"/>
    <w:rsid w:val="0061377D"/>
    <w:rsid w:val="00615499"/>
    <w:rsid w:val="006158AC"/>
    <w:rsid w:val="00616FF4"/>
    <w:rsid w:val="006172AF"/>
    <w:rsid w:val="006179B7"/>
    <w:rsid w:val="0062028D"/>
    <w:rsid w:val="00620F85"/>
    <w:rsid w:val="0062181E"/>
    <w:rsid w:val="00621DBA"/>
    <w:rsid w:val="00622723"/>
    <w:rsid w:val="006233BE"/>
    <w:rsid w:val="00623BB0"/>
    <w:rsid w:val="00626B36"/>
    <w:rsid w:val="00630E69"/>
    <w:rsid w:val="0063283C"/>
    <w:rsid w:val="006369AA"/>
    <w:rsid w:val="00637F8C"/>
    <w:rsid w:val="00641AF1"/>
    <w:rsid w:val="00641C8C"/>
    <w:rsid w:val="006441C6"/>
    <w:rsid w:val="00646E06"/>
    <w:rsid w:val="0064737F"/>
    <w:rsid w:val="0065079C"/>
    <w:rsid w:val="006606EB"/>
    <w:rsid w:val="00662244"/>
    <w:rsid w:val="006645BA"/>
    <w:rsid w:val="0066597A"/>
    <w:rsid w:val="00665FE2"/>
    <w:rsid w:val="00672267"/>
    <w:rsid w:val="00672B7F"/>
    <w:rsid w:val="00674E25"/>
    <w:rsid w:val="0067755A"/>
    <w:rsid w:val="0067796A"/>
    <w:rsid w:val="00680D56"/>
    <w:rsid w:val="00681DD0"/>
    <w:rsid w:val="00683B52"/>
    <w:rsid w:val="00683C53"/>
    <w:rsid w:val="0068404A"/>
    <w:rsid w:val="006849D7"/>
    <w:rsid w:val="0068660F"/>
    <w:rsid w:val="006916AD"/>
    <w:rsid w:val="006926DE"/>
    <w:rsid w:val="00693380"/>
    <w:rsid w:val="00694597"/>
    <w:rsid w:val="006948EC"/>
    <w:rsid w:val="006A0082"/>
    <w:rsid w:val="006A226D"/>
    <w:rsid w:val="006A22C2"/>
    <w:rsid w:val="006A4742"/>
    <w:rsid w:val="006A4BDA"/>
    <w:rsid w:val="006A59C3"/>
    <w:rsid w:val="006A67F9"/>
    <w:rsid w:val="006B4B04"/>
    <w:rsid w:val="006B556A"/>
    <w:rsid w:val="006C1475"/>
    <w:rsid w:val="006C3A70"/>
    <w:rsid w:val="006C51D5"/>
    <w:rsid w:val="006C53F9"/>
    <w:rsid w:val="006C5B81"/>
    <w:rsid w:val="006C621E"/>
    <w:rsid w:val="006C7F1A"/>
    <w:rsid w:val="006D2989"/>
    <w:rsid w:val="006D2C01"/>
    <w:rsid w:val="006D3ABE"/>
    <w:rsid w:val="006D609B"/>
    <w:rsid w:val="006D639A"/>
    <w:rsid w:val="006E26C4"/>
    <w:rsid w:val="006E3A96"/>
    <w:rsid w:val="006E60F8"/>
    <w:rsid w:val="006E7130"/>
    <w:rsid w:val="006E79F7"/>
    <w:rsid w:val="006E7D59"/>
    <w:rsid w:val="006F162B"/>
    <w:rsid w:val="006F407A"/>
    <w:rsid w:val="007009A1"/>
    <w:rsid w:val="007018E9"/>
    <w:rsid w:val="00703242"/>
    <w:rsid w:val="0070386D"/>
    <w:rsid w:val="00705397"/>
    <w:rsid w:val="00707166"/>
    <w:rsid w:val="007073CA"/>
    <w:rsid w:val="007117FB"/>
    <w:rsid w:val="007122CF"/>
    <w:rsid w:val="00713591"/>
    <w:rsid w:val="00714C2A"/>
    <w:rsid w:val="0071718E"/>
    <w:rsid w:val="007172AE"/>
    <w:rsid w:val="007205B3"/>
    <w:rsid w:val="00721136"/>
    <w:rsid w:val="007212B5"/>
    <w:rsid w:val="007216FC"/>
    <w:rsid w:val="00722DB7"/>
    <w:rsid w:val="00725282"/>
    <w:rsid w:val="007257AD"/>
    <w:rsid w:val="00727AA6"/>
    <w:rsid w:val="0073104C"/>
    <w:rsid w:val="00731863"/>
    <w:rsid w:val="00732542"/>
    <w:rsid w:val="007356FD"/>
    <w:rsid w:val="00735B4E"/>
    <w:rsid w:val="00741A91"/>
    <w:rsid w:val="0074618B"/>
    <w:rsid w:val="0074692B"/>
    <w:rsid w:val="00747666"/>
    <w:rsid w:val="0075086C"/>
    <w:rsid w:val="00751921"/>
    <w:rsid w:val="00751B86"/>
    <w:rsid w:val="007521B0"/>
    <w:rsid w:val="00753B49"/>
    <w:rsid w:val="00754B40"/>
    <w:rsid w:val="00764FF2"/>
    <w:rsid w:val="00765B9D"/>
    <w:rsid w:val="007662B5"/>
    <w:rsid w:val="0077020E"/>
    <w:rsid w:val="00773115"/>
    <w:rsid w:val="00774DF4"/>
    <w:rsid w:val="0077651B"/>
    <w:rsid w:val="00776C76"/>
    <w:rsid w:val="0078190F"/>
    <w:rsid w:val="007823F9"/>
    <w:rsid w:val="007829D2"/>
    <w:rsid w:val="0078472D"/>
    <w:rsid w:val="007853E0"/>
    <w:rsid w:val="00786F28"/>
    <w:rsid w:val="00786FB7"/>
    <w:rsid w:val="007872E0"/>
    <w:rsid w:val="007911D2"/>
    <w:rsid w:val="0079241C"/>
    <w:rsid w:val="00793BE3"/>
    <w:rsid w:val="007956EC"/>
    <w:rsid w:val="0079632A"/>
    <w:rsid w:val="00796641"/>
    <w:rsid w:val="00796741"/>
    <w:rsid w:val="007973CE"/>
    <w:rsid w:val="00797D85"/>
    <w:rsid w:val="007A0F50"/>
    <w:rsid w:val="007A1605"/>
    <w:rsid w:val="007A1D54"/>
    <w:rsid w:val="007A2D73"/>
    <w:rsid w:val="007A7D32"/>
    <w:rsid w:val="007B049E"/>
    <w:rsid w:val="007B2357"/>
    <w:rsid w:val="007B3792"/>
    <w:rsid w:val="007B3CF4"/>
    <w:rsid w:val="007B4FFB"/>
    <w:rsid w:val="007B75A5"/>
    <w:rsid w:val="007B762C"/>
    <w:rsid w:val="007C214F"/>
    <w:rsid w:val="007C5BB8"/>
    <w:rsid w:val="007C6DCA"/>
    <w:rsid w:val="007C7810"/>
    <w:rsid w:val="007D1503"/>
    <w:rsid w:val="007D2381"/>
    <w:rsid w:val="007E12B9"/>
    <w:rsid w:val="007E34F2"/>
    <w:rsid w:val="007E3983"/>
    <w:rsid w:val="007E3A31"/>
    <w:rsid w:val="007E72B4"/>
    <w:rsid w:val="007E7A42"/>
    <w:rsid w:val="007F1022"/>
    <w:rsid w:val="007F1425"/>
    <w:rsid w:val="007F2FA4"/>
    <w:rsid w:val="007F5A7D"/>
    <w:rsid w:val="00807D02"/>
    <w:rsid w:val="00813C6D"/>
    <w:rsid w:val="00814A85"/>
    <w:rsid w:val="00816852"/>
    <w:rsid w:val="00820EEB"/>
    <w:rsid w:val="00821BCB"/>
    <w:rsid w:val="00821E86"/>
    <w:rsid w:val="0082652E"/>
    <w:rsid w:val="00831EBE"/>
    <w:rsid w:val="0083426D"/>
    <w:rsid w:val="00834A3E"/>
    <w:rsid w:val="0083589D"/>
    <w:rsid w:val="00835E7E"/>
    <w:rsid w:val="00837ABB"/>
    <w:rsid w:val="0084448F"/>
    <w:rsid w:val="008505B2"/>
    <w:rsid w:val="00853F51"/>
    <w:rsid w:val="0085529F"/>
    <w:rsid w:val="00860E48"/>
    <w:rsid w:val="00860EEB"/>
    <w:rsid w:val="0086244E"/>
    <w:rsid w:val="00866A59"/>
    <w:rsid w:val="008670E8"/>
    <w:rsid w:val="00870709"/>
    <w:rsid w:val="008715C8"/>
    <w:rsid w:val="00874223"/>
    <w:rsid w:val="008746E6"/>
    <w:rsid w:val="00875D3B"/>
    <w:rsid w:val="00876371"/>
    <w:rsid w:val="0087741B"/>
    <w:rsid w:val="008808F6"/>
    <w:rsid w:val="00881CD7"/>
    <w:rsid w:val="00881E4B"/>
    <w:rsid w:val="0088293D"/>
    <w:rsid w:val="008872EE"/>
    <w:rsid w:val="00893EBF"/>
    <w:rsid w:val="008969BF"/>
    <w:rsid w:val="008A152F"/>
    <w:rsid w:val="008A1B4C"/>
    <w:rsid w:val="008A1C84"/>
    <w:rsid w:val="008A3192"/>
    <w:rsid w:val="008A58B7"/>
    <w:rsid w:val="008A594B"/>
    <w:rsid w:val="008A7828"/>
    <w:rsid w:val="008B031E"/>
    <w:rsid w:val="008B22FA"/>
    <w:rsid w:val="008B754E"/>
    <w:rsid w:val="008C1A2A"/>
    <w:rsid w:val="008C3D98"/>
    <w:rsid w:val="008C40BB"/>
    <w:rsid w:val="008C5917"/>
    <w:rsid w:val="008D027B"/>
    <w:rsid w:val="008D1526"/>
    <w:rsid w:val="008D16F0"/>
    <w:rsid w:val="008D18FC"/>
    <w:rsid w:val="008D3CCD"/>
    <w:rsid w:val="008D5DF1"/>
    <w:rsid w:val="008D7764"/>
    <w:rsid w:val="008E0049"/>
    <w:rsid w:val="008E0E60"/>
    <w:rsid w:val="008E192A"/>
    <w:rsid w:val="008E1AC7"/>
    <w:rsid w:val="008E3FF5"/>
    <w:rsid w:val="008E4A9F"/>
    <w:rsid w:val="008E63C5"/>
    <w:rsid w:val="008F0BD9"/>
    <w:rsid w:val="008F2844"/>
    <w:rsid w:val="008F76C1"/>
    <w:rsid w:val="009020E2"/>
    <w:rsid w:val="00902D57"/>
    <w:rsid w:val="0090415B"/>
    <w:rsid w:val="009042F6"/>
    <w:rsid w:val="00906E4A"/>
    <w:rsid w:val="00907677"/>
    <w:rsid w:val="009114D4"/>
    <w:rsid w:val="00912441"/>
    <w:rsid w:val="009130FA"/>
    <w:rsid w:val="009144B9"/>
    <w:rsid w:val="00914AF1"/>
    <w:rsid w:val="00916705"/>
    <w:rsid w:val="0091700A"/>
    <w:rsid w:val="0091742F"/>
    <w:rsid w:val="00922D36"/>
    <w:rsid w:val="0092301F"/>
    <w:rsid w:val="00925F18"/>
    <w:rsid w:val="009266C2"/>
    <w:rsid w:val="009275F7"/>
    <w:rsid w:val="00927DB2"/>
    <w:rsid w:val="00932212"/>
    <w:rsid w:val="00932F13"/>
    <w:rsid w:val="0093405A"/>
    <w:rsid w:val="0093490C"/>
    <w:rsid w:val="00934A56"/>
    <w:rsid w:val="00934AA3"/>
    <w:rsid w:val="00934BE0"/>
    <w:rsid w:val="00935DDE"/>
    <w:rsid w:val="00936DF0"/>
    <w:rsid w:val="009408AE"/>
    <w:rsid w:val="009423E1"/>
    <w:rsid w:val="009430BC"/>
    <w:rsid w:val="009457FD"/>
    <w:rsid w:val="0094627F"/>
    <w:rsid w:val="00947255"/>
    <w:rsid w:val="009508B8"/>
    <w:rsid w:val="00952556"/>
    <w:rsid w:val="0095489B"/>
    <w:rsid w:val="00954984"/>
    <w:rsid w:val="009569B4"/>
    <w:rsid w:val="00960348"/>
    <w:rsid w:val="0096088B"/>
    <w:rsid w:val="0096380E"/>
    <w:rsid w:val="00966B01"/>
    <w:rsid w:val="0096785F"/>
    <w:rsid w:val="00972277"/>
    <w:rsid w:val="009760CD"/>
    <w:rsid w:val="00977C72"/>
    <w:rsid w:val="00980062"/>
    <w:rsid w:val="00982DD9"/>
    <w:rsid w:val="00985697"/>
    <w:rsid w:val="00986BEF"/>
    <w:rsid w:val="009875BE"/>
    <w:rsid w:val="0098764E"/>
    <w:rsid w:val="00993C9D"/>
    <w:rsid w:val="00994CF2"/>
    <w:rsid w:val="009963F5"/>
    <w:rsid w:val="00997939"/>
    <w:rsid w:val="00997B6E"/>
    <w:rsid w:val="009A4073"/>
    <w:rsid w:val="009A56DF"/>
    <w:rsid w:val="009A6ED2"/>
    <w:rsid w:val="009A78DE"/>
    <w:rsid w:val="009B0E2D"/>
    <w:rsid w:val="009B2748"/>
    <w:rsid w:val="009B2C9C"/>
    <w:rsid w:val="009B5AFB"/>
    <w:rsid w:val="009B5EF9"/>
    <w:rsid w:val="009B5F96"/>
    <w:rsid w:val="009B6638"/>
    <w:rsid w:val="009C0132"/>
    <w:rsid w:val="009C21DE"/>
    <w:rsid w:val="009C27DF"/>
    <w:rsid w:val="009C27EF"/>
    <w:rsid w:val="009C3E72"/>
    <w:rsid w:val="009C5034"/>
    <w:rsid w:val="009C7BD0"/>
    <w:rsid w:val="009D26A4"/>
    <w:rsid w:val="009D2EA9"/>
    <w:rsid w:val="009D3D9E"/>
    <w:rsid w:val="009D4632"/>
    <w:rsid w:val="009D4CB2"/>
    <w:rsid w:val="009D5220"/>
    <w:rsid w:val="009D6327"/>
    <w:rsid w:val="009D7B58"/>
    <w:rsid w:val="009E17E8"/>
    <w:rsid w:val="009E3A3C"/>
    <w:rsid w:val="009E5163"/>
    <w:rsid w:val="009F00FC"/>
    <w:rsid w:val="009F23FD"/>
    <w:rsid w:val="009F2AE8"/>
    <w:rsid w:val="009F49FC"/>
    <w:rsid w:val="009F6A56"/>
    <w:rsid w:val="009F6CBA"/>
    <w:rsid w:val="00A00380"/>
    <w:rsid w:val="00A0050C"/>
    <w:rsid w:val="00A02554"/>
    <w:rsid w:val="00A02669"/>
    <w:rsid w:val="00A03020"/>
    <w:rsid w:val="00A03783"/>
    <w:rsid w:val="00A03BF6"/>
    <w:rsid w:val="00A12963"/>
    <w:rsid w:val="00A157ED"/>
    <w:rsid w:val="00A17D1A"/>
    <w:rsid w:val="00A204BA"/>
    <w:rsid w:val="00A21E19"/>
    <w:rsid w:val="00A227C7"/>
    <w:rsid w:val="00A23FCD"/>
    <w:rsid w:val="00A27420"/>
    <w:rsid w:val="00A3263A"/>
    <w:rsid w:val="00A35AB9"/>
    <w:rsid w:val="00A504D3"/>
    <w:rsid w:val="00A5131D"/>
    <w:rsid w:val="00A519D7"/>
    <w:rsid w:val="00A55013"/>
    <w:rsid w:val="00A609FA"/>
    <w:rsid w:val="00A61FC6"/>
    <w:rsid w:val="00A62D18"/>
    <w:rsid w:val="00A62FD4"/>
    <w:rsid w:val="00A640FC"/>
    <w:rsid w:val="00A648F7"/>
    <w:rsid w:val="00A64C77"/>
    <w:rsid w:val="00A64FC9"/>
    <w:rsid w:val="00A67DB9"/>
    <w:rsid w:val="00A724CF"/>
    <w:rsid w:val="00A726EF"/>
    <w:rsid w:val="00A73B7A"/>
    <w:rsid w:val="00A73C9E"/>
    <w:rsid w:val="00A750AB"/>
    <w:rsid w:val="00A757AA"/>
    <w:rsid w:val="00A75CA8"/>
    <w:rsid w:val="00A80C14"/>
    <w:rsid w:val="00A83E31"/>
    <w:rsid w:val="00A86251"/>
    <w:rsid w:val="00A8728E"/>
    <w:rsid w:val="00A9115E"/>
    <w:rsid w:val="00A93DDE"/>
    <w:rsid w:val="00A945E6"/>
    <w:rsid w:val="00A94F16"/>
    <w:rsid w:val="00A9650B"/>
    <w:rsid w:val="00AA1D55"/>
    <w:rsid w:val="00AA1EC1"/>
    <w:rsid w:val="00AA3177"/>
    <w:rsid w:val="00AA388B"/>
    <w:rsid w:val="00AA60CB"/>
    <w:rsid w:val="00AB05FA"/>
    <w:rsid w:val="00AB0635"/>
    <w:rsid w:val="00AB13BE"/>
    <w:rsid w:val="00AB1626"/>
    <w:rsid w:val="00AB2798"/>
    <w:rsid w:val="00AB428B"/>
    <w:rsid w:val="00AB4D2C"/>
    <w:rsid w:val="00AC0738"/>
    <w:rsid w:val="00AC2821"/>
    <w:rsid w:val="00AD1D83"/>
    <w:rsid w:val="00AD364F"/>
    <w:rsid w:val="00AD40E5"/>
    <w:rsid w:val="00AD528F"/>
    <w:rsid w:val="00AD71EE"/>
    <w:rsid w:val="00AE1A2A"/>
    <w:rsid w:val="00AE2F26"/>
    <w:rsid w:val="00AE3265"/>
    <w:rsid w:val="00AE454F"/>
    <w:rsid w:val="00AE59C0"/>
    <w:rsid w:val="00AE5AFD"/>
    <w:rsid w:val="00AE5EFB"/>
    <w:rsid w:val="00AE751C"/>
    <w:rsid w:val="00AF0A48"/>
    <w:rsid w:val="00AF241E"/>
    <w:rsid w:val="00AF3410"/>
    <w:rsid w:val="00AF7183"/>
    <w:rsid w:val="00AF7829"/>
    <w:rsid w:val="00AF7AEA"/>
    <w:rsid w:val="00AF7E6F"/>
    <w:rsid w:val="00B00728"/>
    <w:rsid w:val="00B017D8"/>
    <w:rsid w:val="00B0500D"/>
    <w:rsid w:val="00B10FE2"/>
    <w:rsid w:val="00B158EA"/>
    <w:rsid w:val="00B17182"/>
    <w:rsid w:val="00B20DBD"/>
    <w:rsid w:val="00B22C3D"/>
    <w:rsid w:val="00B23103"/>
    <w:rsid w:val="00B2396E"/>
    <w:rsid w:val="00B23F49"/>
    <w:rsid w:val="00B24265"/>
    <w:rsid w:val="00B2436C"/>
    <w:rsid w:val="00B273B6"/>
    <w:rsid w:val="00B30DF1"/>
    <w:rsid w:val="00B3156C"/>
    <w:rsid w:val="00B31E04"/>
    <w:rsid w:val="00B33BD7"/>
    <w:rsid w:val="00B33BE0"/>
    <w:rsid w:val="00B40811"/>
    <w:rsid w:val="00B428A7"/>
    <w:rsid w:val="00B42C24"/>
    <w:rsid w:val="00B4421D"/>
    <w:rsid w:val="00B45702"/>
    <w:rsid w:val="00B45D48"/>
    <w:rsid w:val="00B45E44"/>
    <w:rsid w:val="00B45F85"/>
    <w:rsid w:val="00B46EB8"/>
    <w:rsid w:val="00B50D88"/>
    <w:rsid w:val="00B50F0D"/>
    <w:rsid w:val="00B52A32"/>
    <w:rsid w:val="00B54262"/>
    <w:rsid w:val="00B55629"/>
    <w:rsid w:val="00B55CA7"/>
    <w:rsid w:val="00B63C5E"/>
    <w:rsid w:val="00B6422C"/>
    <w:rsid w:val="00B67D22"/>
    <w:rsid w:val="00B74113"/>
    <w:rsid w:val="00B74590"/>
    <w:rsid w:val="00B763C6"/>
    <w:rsid w:val="00B77F01"/>
    <w:rsid w:val="00B818A0"/>
    <w:rsid w:val="00B85005"/>
    <w:rsid w:val="00B850A1"/>
    <w:rsid w:val="00B86A08"/>
    <w:rsid w:val="00B875A0"/>
    <w:rsid w:val="00B876FE"/>
    <w:rsid w:val="00B9132B"/>
    <w:rsid w:val="00B93B0A"/>
    <w:rsid w:val="00B960B5"/>
    <w:rsid w:val="00B971B3"/>
    <w:rsid w:val="00BA0607"/>
    <w:rsid w:val="00BA0FCA"/>
    <w:rsid w:val="00BA1424"/>
    <w:rsid w:val="00BA3032"/>
    <w:rsid w:val="00BA4C8A"/>
    <w:rsid w:val="00BA5F22"/>
    <w:rsid w:val="00BA7D43"/>
    <w:rsid w:val="00BB3824"/>
    <w:rsid w:val="00BB3FB3"/>
    <w:rsid w:val="00BB716A"/>
    <w:rsid w:val="00BB76A7"/>
    <w:rsid w:val="00BC3257"/>
    <w:rsid w:val="00BC38FA"/>
    <w:rsid w:val="00BC3CEF"/>
    <w:rsid w:val="00BC50C4"/>
    <w:rsid w:val="00BC72B1"/>
    <w:rsid w:val="00BD0065"/>
    <w:rsid w:val="00BD1EA6"/>
    <w:rsid w:val="00BD2A52"/>
    <w:rsid w:val="00BD3A6C"/>
    <w:rsid w:val="00BD6901"/>
    <w:rsid w:val="00BD6923"/>
    <w:rsid w:val="00BE08D1"/>
    <w:rsid w:val="00BE4F40"/>
    <w:rsid w:val="00BE55A7"/>
    <w:rsid w:val="00BE5631"/>
    <w:rsid w:val="00BE6C53"/>
    <w:rsid w:val="00BE6CE5"/>
    <w:rsid w:val="00BE7324"/>
    <w:rsid w:val="00BF107B"/>
    <w:rsid w:val="00BF180C"/>
    <w:rsid w:val="00BF27FC"/>
    <w:rsid w:val="00BF3E17"/>
    <w:rsid w:val="00BF4447"/>
    <w:rsid w:val="00BF4DB4"/>
    <w:rsid w:val="00BF50CF"/>
    <w:rsid w:val="00BF6131"/>
    <w:rsid w:val="00BF6532"/>
    <w:rsid w:val="00C00445"/>
    <w:rsid w:val="00C00B13"/>
    <w:rsid w:val="00C01294"/>
    <w:rsid w:val="00C0271B"/>
    <w:rsid w:val="00C02B89"/>
    <w:rsid w:val="00C0411E"/>
    <w:rsid w:val="00C05A1C"/>
    <w:rsid w:val="00C1358C"/>
    <w:rsid w:val="00C17334"/>
    <w:rsid w:val="00C22C70"/>
    <w:rsid w:val="00C25A1F"/>
    <w:rsid w:val="00C3031E"/>
    <w:rsid w:val="00C31290"/>
    <w:rsid w:val="00C31650"/>
    <w:rsid w:val="00C31C84"/>
    <w:rsid w:val="00C32807"/>
    <w:rsid w:val="00C33779"/>
    <w:rsid w:val="00C35A99"/>
    <w:rsid w:val="00C374D7"/>
    <w:rsid w:val="00C44103"/>
    <w:rsid w:val="00C44F88"/>
    <w:rsid w:val="00C47C1A"/>
    <w:rsid w:val="00C51910"/>
    <w:rsid w:val="00C539FB"/>
    <w:rsid w:val="00C542E9"/>
    <w:rsid w:val="00C54A84"/>
    <w:rsid w:val="00C56130"/>
    <w:rsid w:val="00C56BD0"/>
    <w:rsid w:val="00C56BEF"/>
    <w:rsid w:val="00C61AD5"/>
    <w:rsid w:val="00C6347B"/>
    <w:rsid w:val="00C63D31"/>
    <w:rsid w:val="00C65242"/>
    <w:rsid w:val="00C664AD"/>
    <w:rsid w:val="00C671F9"/>
    <w:rsid w:val="00C704E7"/>
    <w:rsid w:val="00C758DC"/>
    <w:rsid w:val="00C75D98"/>
    <w:rsid w:val="00C81194"/>
    <w:rsid w:val="00C84D2E"/>
    <w:rsid w:val="00C86AA1"/>
    <w:rsid w:val="00C90230"/>
    <w:rsid w:val="00C9328A"/>
    <w:rsid w:val="00C932A8"/>
    <w:rsid w:val="00C96A61"/>
    <w:rsid w:val="00C97615"/>
    <w:rsid w:val="00C979A7"/>
    <w:rsid w:val="00CA102D"/>
    <w:rsid w:val="00CA1629"/>
    <w:rsid w:val="00CA3E5C"/>
    <w:rsid w:val="00CB0552"/>
    <w:rsid w:val="00CB1D10"/>
    <w:rsid w:val="00CB20C1"/>
    <w:rsid w:val="00CB25F0"/>
    <w:rsid w:val="00CB2B1E"/>
    <w:rsid w:val="00CB3077"/>
    <w:rsid w:val="00CB36FF"/>
    <w:rsid w:val="00CB445A"/>
    <w:rsid w:val="00CB66C0"/>
    <w:rsid w:val="00CB6794"/>
    <w:rsid w:val="00CC4CEA"/>
    <w:rsid w:val="00CC5F2C"/>
    <w:rsid w:val="00CC6FE6"/>
    <w:rsid w:val="00CD40B9"/>
    <w:rsid w:val="00CD5A46"/>
    <w:rsid w:val="00CD726B"/>
    <w:rsid w:val="00CE14AF"/>
    <w:rsid w:val="00CE19CC"/>
    <w:rsid w:val="00CE676C"/>
    <w:rsid w:val="00CE71EA"/>
    <w:rsid w:val="00CF0C73"/>
    <w:rsid w:val="00CF4916"/>
    <w:rsid w:val="00CF596C"/>
    <w:rsid w:val="00CF6AFF"/>
    <w:rsid w:val="00CF791A"/>
    <w:rsid w:val="00D0070E"/>
    <w:rsid w:val="00D01563"/>
    <w:rsid w:val="00D01DA0"/>
    <w:rsid w:val="00D02484"/>
    <w:rsid w:val="00D02A1F"/>
    <w:rsid w:val="00D03D76"/>
    <w:rsid w:val="00D12059"/>
    <w:rsid w:val="00D13412"/>
    <w:rsid w:val="00D146C2"/>
    <w:rsid w:val="00D16020"/>
    <w:rsid w:val="00D16A51"/>
    <w:rsid w:val="00D1718C"/>
    <w:rsid w:val="00D2285D"/>
    <w:rsid w:val="00D22A57"/>
    <w:rsid w:val="00D22E77"/>
    <w:rsid w:val="00D2669A"/>
    <w:rsid w:val="00D31E57"/>
    <w:rsid w:val="00D3242F"/>
    <w:rsid w:val="00D34FF7"/>
    <w:rsid w:val="00D35495"/>
    <w:rsid w:val="00D355EA"/>
    <w:rsid w:val="00D37857"/>
    <w:rsid w:val="00D40847"/>
    <w:rsid w:val="00D40DB3"/>
    <w:rsid w:val="00D42A95"/>
    <w:rsid w:val="00D4726F"/>
    <w:rsid w:val="00D53E4E"/>
    <w:rsid w:val="00D55691"/>
    <w:rsid w:val="00D61C5F"/>
    <w:rsid w:val="00D61ED9"/>
    <w:rsid w:val="00D6213E"/>
    <w:rsid w:val="00D627EA"/>
    <w:rsid w:val="00D62D1A"/>
    <w:rsid w:val="00D66D02"/>
    <w:rsid w:val="00D6766F"/>
    <w:rsid w:val="00D700F1"/>
    <w:rsid w:val="00D71520"/>
    <w:rsid w:val="00D71F7F"/>
    <w:rsid w:val="00D72747"/>
    <w:rsid w:val="00D73AAA"/>
    <w:rsid w:val="00D74251"/>
    <w:rsid w:val="00D742BF"/>
    <w:rsid w:val="00D74DAD"/>
    <w:rsid w:val="00D76AB1"/>
    <w:rsid w:val="00D83C90"/>
    <w:rsid w:val="00D8432F"/>
    <w:rsid w:val="00D8535A"/>
    <w:rsid w:val="00D8639C"/>
    <w:rsid w:val="00D86CF5"/>
    <w:rsid w:val="00D936CB"/>
    <w:rsid w:val="00D9502F"/>
    <w:rsid w:val="00D95542"/>
    <w:rsid w:val="00D962A9"/>
    <w:rsid w:val="00D974AF"/>
    <w:rsid w:val="00DA286F"/>
    <w:rsid w:val="00DA75E3"/>
    <w:rsid w:val="00DB0550"/>
    <w:rsid w:val="00DB15A1"/>
    <w:rsid w:val="00DB3540"/>
    <w:rsid w:val="00DB3CD9"/>
    <w:rsid w:val="00DB749D"/>
    <w:rsid w:val="00DC5DC1"/>
    <w:rsid w:val="00DC65EF"/>
    <w:rsid w:val="00DC6D68"/>
    <w:rsid w:val="00DD0132"/>
    <w:rsid w:val="00DD1CFF"/>
    <w:rsid w:val="00DD202B"/>
    <w:rsid w:val="00DD25E9"/>
    <w:rsid w:val="00DD2BF4"/>
    <w:rsid w:val="00DD4078"/>
    <w:rsid w:val="00DD5343"/>
    <w:rsid w:val="00DD568C"/>
    <w:rsid w:val="00DD7254"/>
    <w:rsid w:val="00DE210F"/>
    <w:rsid w:val="00DE3630"/>
    <w:rsid w:val="00DE3AE7"/>
    <w:rsid w:val="00DE3B36"/>
    <w:rsid w:val="00DE605A"/>
    <w:rsid w:val="00DE726A"/>
    <w:rsid w:val="00DE7683"/>
    <w:rsid w:val="00DF0101"/>
    <w:rsid w:val="00DF1FB4"/>
    <w:rsid w:val="00DF2447"/>
    <w:rsid w:val="00DF7C8B"/>
    <w:rsid w:val="00E0121D"/>
    <w:rsid w:val="00E030C3"/>
    <w:rsid w:val="00E03345"/>
    <w:rsid w:val="00E03420"/>
    <w:rsid w:val="00E102DD"/>
    <w:rsid w:val="00E1049A"/>
    <w:rsid w:val="00E11C84"/>
    <w:rsid w:val="00E13B1E"/>
    <w:rsid w:val="00E1501D"/>
    <w:rsid w:val="00E22C67"/>
    <w:rsid w:val="00E236B4"/>
    <w:rsid w:val="00E275E4"/>
    <w:rsid w:val="00E27864"/>
    <w:rsid w:val="00E27BB7"/>
    <w:rsid w:val="00E27BCE"/>
    <w:rsid w:val="00E30C34"/>
    <w:rsid w:val="00E346BF"/>
    <w:rsid w:val="00E34C7F"/>
    <w:rsid w:val="00E47EA1"/>
    <w:rsid w:val="00E50DFB"/>
    <w:rsid w:val="00E543D8"/>
    <w:rsid w:val="00E54A1B"/>
    <w:rsid w:val="00E55729"/>
    <w:rsid w:val="00E561B5"/>
    <w:rsid w:val="00E56AB3"/>
    <w:rsid w:val="00E610CE"/>
    <w:rsid w:val="00E615E2"/>
    <w:rsid w:val="00E62060"/>
    <w:rsid w:val="00E64D25"/>
    <w:rsid w:val="00E65143"/>
    <w:rsid w:val="00E67CB4"/>
    <w:rsid w:val="00E70DAB"/>
    <w:rsid w:val="00E72C1B"/>
    <w:rsid w:val="00E72FCB"/>
    <w:rsid w:val="00E74D01"/>
    <w:rsid w:val="00E75FB9"/>
    <w:rsid w:val="00E81198"/>
    <w:rsid w:val="00E83AB9"/>
    <w:rsid w:val="00E83B2D"/>
    <w:rsid w:val="00E83FE6"/>
    <w:rsid w:val="00E84936"/>
    <w:rsid w:val="00E871A5"/>
    <w:rsid w:val="00E97AB3"/>
    <w:rsid w:val="00EA0F9E"/>
    <w:rsid w:val="00EA2C4F"/>
    <w:rsid w:val="00EA4D21"/>
    <w:rsid w:val="00EA4D2D"/>
    <w:rsid w:val="00EA66CE"/>
    <w:rsid w:val="00EB0E12"/>
    <w:rsid w:val="00EB29A3"/>
    <w:rsid w:val="00EB408D"/>
    <w:rsid w:val="00EB4597"/>
    <w:rsid w:val="00EB5C43"/>
    <w:rsid w:val="00EB5D74"/>
    <w:rsid w:val="00EB5FB5"/>
    <w:rsid w:val="00EC06B9"/>
    <w:rsid w:val="00EC0737"/>
    <w:rsid w:val="00EC471D"/>
    <w:rsid w:val="00ED10EA"/>
    <w:rsid w:val="00ED2492"/>
    <w:rsid w:val="00ED5716"/>
    <w:rsid w:val="00ED6444"/>
    <w:rsid w:val="00EE2C1E"/>
    <w:rsid w:val="00EE48D0"/>
    <w:rsid w:val="00EE551E"/>
    <w:rsid w:val="00EE5C27"/>
    <w:rsid w:val="00EE5EED"/>
    <w:rsid w:val="00EE5F75"/>
    <w:rsid w:val="00EE6C63"/>
    <w:rsid w:val="00EE7BB0"/>
    <w:rsid w:val="00EF035C"/>
    <w:rsid w:val="00EF17BD"/>
    <w:rsid w:val="00EF1EED"/>
    <w:rsid w:val="00EF490E"/>
    <w:rsid w:val="00EF5939"/>
    <w:rsid w:val="00EF678E"/>
    <w:rsid w:val="00EF7A03"/>
    <w:rsid w:val="00EF7FF0"/>
    <w:rsid w:val="00F0128D"/>
    <w:rsid w:val="00F01341"/>
    <w:rsid w:val="00F0216A"/>
    <w:rsid w:val="00F0285A"/>
    <w:rsid w:val="00F02C6B"/>
    <w:rsid w:val="00F07FD9"/>
    <w:rsid w:val="00F11057"/>
    <w:rsid w:val="00F110CF"/>
    <w:rsid w:val="00F11AD2"/>
    <w:rsid w:val="00F129FB"/>
    <w:rsid w:val="00F15308"/>
    <w:rsid w:val="00F15468"/>
    <w:rsid w:val="00F15828"/>
    <w:rsid w:val="00F20AD0"/>
    <w:rsid w:val="00F3117B"/>
    <w:rsid w:val="00F33AFE"/>
    <w:rsid w:val="00F35272"/>
    <w:rsid w:val="00F354B6"/>
    <w:rsid w:val="00F40A0A"/>
    <w:rsid w:val="00F41339"/>
    <w:rsid w:val="00F413D9"/>
    <w:rsid w:val="00F429D8"/>
    <w:rsid w:val="00F42B15"/>
    <w:rsid w:val="00F42FB7"/>
    <w:rsid w:val="00F44AF5"/>
    <w:rsid w:val="00F45853"/>
    <w:rsid w:val="00F4640B"/>
    <w:rsid w:val="00F47502"/>
    <w:rsid w:val="00F47E6A"/>
    <w:rsid w:val="00F537C6"/>
    <w:rsid w:val="00F57C54"/>
    <w:rsid w:val="00F61170"/>
    <w:rsid w:val="00F63E7F"/>
    <w:rsid w:val="00F6640A"/>
    <w:rsid w:val="00F674B5"/>
    <w:rsid w:val="00F70441"/>
    <w:rsid w:val="00F712C6"/>
    <w:rsid w:val="00F717D5"/>
    <w:rsid w:val="00F71E55"/>
    <w:rsid w:val="00F74FA7"/>
    <w:rsid w:val="00F77F24"/>
    <w:rsid w:val="00F77FB1"/>
    <w:rsid w:val="00F83966"/>
    <w:rsid w:val="00F83B43"/>
    <w:rsid w:val="00F86C3C"/>
    <w:rsid w:val="00F9429D"/>
    <w:rsid w:val="00F94868"/>
    <w:rsid w:val="00F94DFF"/>
    <w:rsid w:val="00F9621F"/>
    <w:rsid w:val="00F967FF"/>
    <w:rsid w:val="00F96DBE"/>
    <w:rsid w:val="00FA08E3"/>
    <w:rsid w:val="00FA0AD6"/>
    <w:rsid w:val="00FA513B"/>
    <w:rsid w:val="00FA7E74"/>
    <w:rsid w:val="00FB0CCF"/>
    <w:rsid w:val="00FB1B67"/>
    <w:rsid w:val="00FB2B93"/>
    <w:rsid w:val="00FB3882"/>
    <w:rsid w:val="00FB5C5A"/>
    <w:rsid w:val="00FB7588"/>
    <w:rsid w:val="00FC0B4E"/>
    <w:rsid w:val="00FC0FB8"/>
    <w:rsid w:val="00FC1FC3"/>
    <w:rsid w:val="00FC4F6D"/>
    <w:rsid w:val="00FC6901"/>
    <w:rsid w:val="00FD28EF"/>
    <w:rsid w:val="00FD79D3"/>
    <w:rsid w:val="00FE0475"/>
    <w:rsid w:val="00FE0943"/>
    <w:rsid w:val="00FE1185"/>
    <w:rsid w:val="00FE4C21"/>
    <w:rsid w:val="00FE4F6A"/>
    <w:rsid w:val="00FE577C"/>
    <w:rsid w:val="00FE69A1"/>
    <w:rsid w:val="00FF25B5"/>
    <w:rsid w:val="00FF3D68"/>
    <w:rsid w:val="00FF78CC"/>
    <w:rsid w:val="05CF0835"/>
    <w:rsid w:val="161E68D3"/>
    <w:rsid w:val="252B69FE"/>
    <w:rsid w:val="2CAF19E2"/>
    <w:rsid w:val="4C4927A0"/>
    <w:rsid w:val="4FB82AC5"/>
    <w:rsid w:val="6FAE22E2"/>
    <w:rsid w:val="712324FF"/>
    <w:rsid w:val="71FE2AF6"/>
    <w:rsid w:val="73611CE3"/>
    <w:rsid w:val="7E9A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link w:val="34"/>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unhideWhenUsed/>
    <w:qFormat/>
    <w:uiPriority w:val="99"/>
    <w:pPr>
      <w:jc w:val="left"/>
    </w:pPr>
  </w:style>
  <w:style w:type="paragraph" w:styleId="6">
    <w:name w:val="Body Text"/>
    <w:basedOn w:val="1"/>
    <w:link w:val="29"/>
    <w:qFormat/>
    <w:uiPriority w:val="1"/>
    <w:pPr>
      <w:spacing w:before="181"/>
      <w:ind w:left="141"/>
      <w:jc w:val="left"/>
    </w:pPr>
    <w:rPr>
      <w:rFonts w:ascii="宋体" w:hAnsi="宋体" w:cstheme="minorBidi"/>
      <w:kern w:val="0"/>
      <w:sz w:val="24"/>
      <w:lang w:eastAsia="en-US"/>
    </w:rPr>
  </w:style>
  <w:style w:type="paragraph" w:styleId="7">
    <w:name w:val="toc 3"/>
    <w:basedOn w:val="1"/>
    <w:next w:val="1"/>
    <w:qFormat/>
    <w:uiPriority w:val="39"/>
    <w:pPr>
      <w:ind w:left="420"/>
      <w:jc w:val="left"/>
    </w:pPr>
    <w:rPr>
      <w:rFonts w:ascii="等线" w:hAnsi="等线" w:eastAsia="等线" w:cs="宋体"/>
      <w:i/>
      <w:iCs/>
      <w:sz w:val="20"/>
      <w:szCs w:val="20"/>
    </w:rPr>
  </w:style>
  <w:style w:type="paragraph" w:styleId="8">
    <w:name w:val="Plain Text"/>
    <w:basedOn w:val="1"/>
    <w:link w:val="21"/>
    <w:qFormat/>
    <w:uiPriority w:val="0"/>
    <w:rPr>
      <w:rFonts w:ascii="宋体" w:hAnsi="Courier New"/>
    </w:rPr>
  </w:style>
  <w:style w:type="paragraph" w:styleId="9">
    <w:name w:val="Balloon Text"/>
    <w:basedOn w:val="1"/>
    <w:link w:val="24"/>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3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5"/>
    <w:next w:val="5"/>
    <w:link w:val="26"/>
    <w:semiHidden/>
    <w:unhideWhenUsed/>
    <w:qFormat/>
    <w:uiPriority w:val="99"/>
    <w:rPr>
      <w:b/>
      <w:bCs/>
    </w:rPr>
  </w:style>
  <w:style w:type="character" w:styleId="17">
    <w:name w:val="Strong"/>
    <w:basedOn w:val="16"/>
    <w:qFormat/>
    <w:uiPriority w:val="22"/>
    <w:rPr>
      <w:b/>
      <w:bCs/>
    </w:rPr>
  </w:style>
  <w:style w:type="character" w:styleId="18">
    <w:name w:val="annotation reference"/>
    <w:basedOn w:val="16"/>
    <w:semiHidden/>
    <w:unhideWhenUsed/>
    <w:qFormat/>
    <w:uiPriority w:val="99"/>
    <w:rPr>
      <w:sz w:val="21"/>
      <w:szCs w:val="21"/>
    </w:rPr>
  </w:style>
  <w:style w:type="character" w:customStyle="1" w:styleId="19">
    <w:name w:val="页脚 Char"/>
    <w:basedOn w:val="16"/>
    <w:link w:val="10"/>
    <w:qFormat/>
    <w:uiPriority w:val="99"/>
    <w:rPr>
      <w:rFonts w:ascii="Times New Roman" w:hAnsi="Times New Roman" w:eastAsia="宋体" w:cs="Times New Roman"/>
      <w:sz w:val="18"/>
      <w:szCs w:val="18"/>
    </w:rPr>
  </w:style>
  <w:style w:type="paragraph" w:styleId="20">
    <w:name w:val="List Paragraph"/>
    <w:basedOn w:val="1"/>
    <w:link w:val="22"/>
    <w:qFormat/>
    <w:uiPriority w:val="99"/>
    <w:pPr>
      <w:ind w:firstLine="420" w:firstLineChars="200"/>
    </w:pPr>
  </w:style>
  <w:style w:type="character" w:customStyle="1" w:styleId="21">
    <w:name w:val="纯文本 Char"/>
    <w:basedOn w:val="16"/>
    <w:link w:val="8"/>
    <w:qFormat/>
    <w:uiPriority w:val="0"/>
    <w:rPr>
      <w:rFonts w:ascii="宋体" w:hAnsi="Courier New" w:eastAsia="宋体" w:cs="Times New Roman"/>
      <w:szCs w:val="24"/>
    </w:rPr>
  </w:style>
  <w:style w:type="character" w:customStyle="1" w:styleId="22">
    <w:name w:val="列出段落 Char"/>
    <w:basedOn w:val="16"/>
    <w:link w:val="20"/>
    <w:qFormat/>
    <w:uiPriority w:val="34"/>
    <w:rPr>
      <w:rFonts w:ascii="Times New Roman" w:hAnsi="Times New Roman" w:eastAsia="宋体" w:cs="Times New Roman"/>
      <w:szCs w:val="24"/>
    </w:rPr>
  </w:style>
  <w:style w:type="character" w:customStyle="1" w:styleId="23">
    <w:name w:val="页眉 Char"/>
    <w:basedOn w:val="16"/>
    <w:link w:val="11"/>
    <w:qFormat/>
    <w:uiPriority w:val="99"/>
    <w:rPr>
      <w:rFonts w:ascii="Times New Roman" w:hAnsi="Times New Roman" w:eastAsia="宋体" w:cs="Times New Roman"/>
      <w:sz w:val="18"/>
      <w:szCs w:val="18"/>
    </w:rPr>
  </w:style>
  <w:style w:type="character" w:customStyle="1" w:styleId="24">
    <w:name w:val="批注框文本 Char"/>
    <w:basedOn w:val="16"/>
    <w:link w:val="9"/>
    <w:semiHidden/>
    <w:qFormat/>
    <w:uiPriority w:val="99"/>
    <w:rPr>
      <w:rFonts w:ascii="Times New Roman" w:hAnsi="Times New Roman" w:eastAsia="宋体" w:cs="Times New Roman"/>
      <w:sz w:val="18"/>
      <w:szCs w:val="18"/>
    </w:rPr>
  </w:style>
  <w:style w:type="character" w:customStyle="1" w:styleId="25">
    <w:name w:val="批注文字 Char"/>
    <w:basedOn w:val="16"/>
    <w:link w:val="5"/>
    <w:qFormat/>
    <w:uiPriority w:val="99"/>
    <w:rPr>
      <w:rFonts w:ascii="Times New Roman" w:hAnsi="Times New Roman" w:eastAsia="宋体" w:cs="Times New Roman"/>
      <w:szCs w:val="24"/>
    </w:rPr>
  </w:style>
  <w:style w:type="character" w:customStyle="1" w:styleId="26">
    <w:name w:val="批注主题 Char"/>
    <w:basedOn w:val="25"/>
    <w:link w:val="14"/>
    <w:semiHidden/>
    <w:qFormat/>
    <w:uiPriority w:val="99"/>
    <w:rPr>
      <w:rFonts w:ascii="Times New Roman" w:hAnsi="Times New Roman" w:eastAsia="宋体" w:cs="Times New Roman"/>
      <w:b/>
      <w:bCs/>
      <w:szCs w:val="24"/>
    </w:rPr>
  </w:style>
  <w:style w:type="table" w:customStyle="1" w:styleId="27">
    <w:name w:val="TableGrid"/>
    <w:qFormat/>
    <w:uiPriority w:val="0"/>
    <w:tblPr>
      <w:tblCellMar>
        <w:top w:w="0" w:type="dxa"/>
        <w:left w:w="0" w:type="dxa"/>
        <w:bottom w:w="0" w:type="dxa"/>
        <w:right w:w="0" w:type="dxa"/>
      </w:tblCellMar>
    </w:tblPr>
  </w:style>
  <w:style w:type="character" w:customStyle="1" w:styleId="28">
    <w:name w:val="标题 2 Char"/>
    <w:basedOn w:val="16"/>
    <w:link w:val="3"/>
    <w:qFormat/>
    <w:uiPriority w:val="9"/>
    <w:rPr>
      <w:rFonts w:asciiTheme="majorHAnsi" w:hAnsiTheme="majorHAnsi" w:eastAsiaTheme="majorEastAsia" w:cstheme="majorBidi"/>
      <w:b/>
      <w:bCs/>
      <w:sz w:val="32"/>
      <w:szCs w:val="32"/>
    </w:rPr>
  </w:style>
  <w:style w:type="character" w:customStyle="1" w:styleId="29">
    <w:name w:val="正文文本 Char"/>
    <w:basedOn w:val="16"/>
    <w:link w:val="6"/>
    <w:qFormat/>
    <w:uiPriority w:val="1"/>
    <w:rPr>
      <w:rFonts w:ascii="宋体" w:hAnsi="宋体" w:eastAsia="宋体"/>
      <w:kern w:val="0"/>
      <w:sz w:val="24"/>
      <w:szCs w:val="24"/>
      <w:lang w:eastAsia="en-US"/>
    </w:rPr>
  </w:style>
  <w:style w:type="character" w:customStyle="1" w:styleId="30">
    <w:name w:val="标题 1 Char"/>
    <w:basedOn w:val="16"/>
    <w:link w:val="2"/>
    <w:qFormat/>
    <w:uiPriority w:val="9"/>
    <w:rPr>
      <w:b/>
      <w:bCs/>
      <w:kern w:val="44"/>
      <w:sz w:val="44"/>
      <w:szCs w:val="44"/>
    </w:rPr>
  </w:style>
  <w:style w:type="character" w:customStyle="1" w:styleId="31">
    <w:name w:val="005正文 Char"/>
    <w:link w:val="32"/>
    <w:qFormat/>
    <w:locked/>
    <w:uiPriority w:val="0"/>
  </w:style>
  <w:style w:type="paragraph" w:customStyle="1" w:styleId="32">
    <w:name w:val="005正文"/>
    <w:basedOn w:val="1"/>
    <w:link w:val="31"/>
    <w:qFormat/>
    <w:uiPriority w:val="0"/>
    <w:pPr>
      <w:spacing w:beforeLines="50" w:line="360" w:lineRule="auto"/>
      <w:ind w:firstLine="200" w:firstLineChars="200"/>
    </w:pPr>
    <w:rPr>
      <w:rFonts w:asciiTheme="minorHAnsi" w:hAnsiTheme="minorHAnsi" w:eastAsiaTheme="minorEastAsia" w:cstheme="minorBidi"/>
      <w:szCs w:val="22"/>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标题 4 Char"/>
    <w:basedOn w:val="16"/>
    <w:link w:val="4"/>
    <w:qFormat/>
    <w:uiPriority w:val="9"/>
    <w:rPr>
      <w:rFonts w:ascii="宋体" w:hAnsi="宋体" w:eastAsia="宋体" w:cs="宋体"/>
      <w:b/>
      <w:bCs/>
      <w:kern w:val="0"/>
      <w:sz w:val="24"/>
      <w:szCs w:val="24"/>
    </w:rPr>
  </w:style>
  <w:style w:type="character" w:customStyle="1" w:styleId="35">
    <w:name w:val="HTML 预设格式 Char"/>
    <w:basedOn w:val="16"/>
    <w:link w:val="12"/>
    <w:semiHidden/>
    <w:qFormat/>
    <w:uiPriority w:val="99"/>
    <w:rPr>
      <w:rFonts w:ascii="宋体" w:hAnsi="宋体" w:eastAsia="宋体" w:cs="宋体"/>
      <w:kern w:val="0"/>
      <w:sz w:val="24"/>
      <w:szCs w:val="24"/>
    </w:rPr>
  </w:style>
  <w:style w:type="paragraph" w:customStyle="1" w:styleId="36">
    <w:name w:val="_Style 6"/>
    <w:basedOn w:val="1"/>
    <w:qFormat/>
    <w:uiPriority w:val="34"/>
    <w:pPr>
      <w:ind w:firstLine="420" w:firstLineChars="200"/>
    </w:pPr>
    <w:rPr>
      <w:rFonts w:ascii="Calibri" w:hAnsi="Calibri"/>
      <w:szCs w:val="22"/>
    </w:rPr>
  </w:style>
  <w:style w:type="character" w:customStyle="1" w:styleId="37">
    <w:name w:val="wx_text_underline"/>
    <w:basedOn w:val="16"/>
    <w:qFormat/>
    <w:uiPriority w:val="0"/>
  </w:style>
  <w:style w:type="character" w:customStyle="1" w:styleId="38">
    <w:name w:val="wx_search_keyword_wrap"/>
    <w:basedOn w:val="16"/>
    <w:qFormat/>
    <w:uiPriority w:val="0"/>
  </w:style>
  <w:style w:type="character" w:customStyle="1" w:styleId="39">
    <w:name w:val="lb"/>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C5370-AE35-4494-B145-746A1AC96D97}">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3350</Words>
  <Characters>3592</Characters>
  <Lines>26</Lines>
  <Paragraphs>7</Paragraphs>
  <TotalTime>4</TotalTime>
  <ScaleCrop>false</ScaleCrop>
  <LinksUpToDate>false</LinksUpToDate>
  <CharactersWithSpaces>3717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2025-06-16T07:11:00Z</dcterms:created>
  <dc:creator>Ge ch</dc:creator>
  <cp:lastModifiedBy>LHJ</cp:lastModifiedBy>
  <cp:lastPrinted>2024-08-21T06:15:00Z</cp:lastPrinted>
  <dcterms:modified xsi:type="dcterms:W3CDTF">2025-07-14T08:53:15Z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eyJoZGlkIjoiMTkzMjM2YTlmNTQ2ZWRjOWUyNmVlNzhmNjdhZTRkNGEiLCJ1c2VySWQiOiIzMzQ2MjYxNTcifQ==</vt:lpwstr>
  </property>
  <property fmtid="{D5CDD505-2E9C-101B-9397-08002B2CF9AE}" pid="3" name="KSOProductBuildVer">
    <vt:lpwstr>2052-12.1.0.21541</vt:lpwstr>
  </property>
  <property fmtid="{D5CDD505-2E9C-101B-9397-08002B2CF9AE}" pid="4" name="ICV">
    <vt:lpwstr>58A7A8A4312342D39A2479F297FD0313_13</vt:lpwstr>
  </property>
</Properties>
</file>