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宋体" w:hAnsi="宋体" w:eastAsia="宋体" w:cs="宋体"/>
          <w:sz w:val="20"/>
          <w:szCs w:val="20"/>
          <w:lang w:val="en-US" w:eastAsia="zh-CN"/>
        </w:rPr>
      </w:pPr>
      <w:r>
        <w:rPr>
          <w:rFonts w:hint="eastAsia" w:ascii="宋体" w:hAnsi="宋体" w:eastAsia="宋体" w:cs="宋体"/>
          <w:sz w:val="24"/>
          <w:szCs w:val="24"/>
          <w:lang w:val="en-US"/>
        </w:rPr>
        <w:t>证券代码：</w:t>
      </w:r>
      <w:r>
        <w:rPr>
          <w:rFonts w:hint="eastAsia" w:ascii="宋体" w:hAnsi="宋体" w:eastAsia="宋体" w:cs="宋体"/>
          <w:sz w:val="24"/>
          <w:szCs w:val="24"/>
          <w:lang w:val="en-US" w:eastAsia="zh-CN"/>
        </w:rPr>
        <w:t>603019</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证券简称：</w:t>
      </w:r>
      <w:r>
        <w:rPr>
          <w:rFonts w:hint="eastAsia" w:ascii="宋体" w:hAnsi="宋体" w:eastAsia="宋体" w:cs="宋体"/>
          <w:sz w:val="24"/>
          <w:szCs w:val="24"/>
          <w:lang w:val="en-US" w:eastAsia="zh-CN"/>
        </w:rPr>
        <w:t>中科曙光</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曙光信息产业股份有限公司</w:t>
      </w:r>
    </w:p>
    <w:p>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spacing w:before="51" w:after="32"/>
        <w:ind w:right="619"/>
        <w:jc w:val="right"/>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编号：</w:t>
      </w:r>
      <w:r>
        <w:rPr>
          <w:rFonts w:hint="eastAsia" w:ascii="宋体" w:hAnsi="宋体" w:eastAsia="宋体" w:cs="宋体"/>
          <w:sz w:val="24"/>
          <w:szCs w:val="24"/>
          <w:lang w:val="en-US"/>
        </w:rPr>
        <w:t>2024</w:t>
      </w:r>
      <w:r>
        <w:rPr>
          <w:rFonts w:hint="eastAsia" w:ascii="宋体" w:hAnsi="宋体" w:eastAsia="宋体" w:cs="宋体"/>
          <w:sz w:val="24"/>
          <w:szCs w:val="24"/>
        </w:rPr>
        <w:t>-</w:t>
      </w:r>
      <w:r>
        <w:rPr>
          <w:rFonts w:hint="default" w:ascii="宋体" w:hAnsi="宋体" w:eastAsia="宋体" w:cs="宋体"/>
          <w:sz w:val="24"/>
          <w:szCs w:val="24"/>
          <w:lang w:val="en-US"/>
        </w:rPr>
        <w:t>001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1657"/>
        <w:gridCol w:w="6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1657" w:type="dxa"/>
          </w:tcPr>
          <w:p>
            <w:pPr>
              <w:pStyle w:val="12"/>
              <w:spacing w:before="7"/>
              <w:rPr>
                <w:rFonts w:hint="eastAsia" w:ascii="宋体" w:hAnsi="宋体" w:eastAsia="宋体" w:cs="宋体"/>
                <w:b/>
                <w:bCs/>
                <w:sz w:val="24"/>
                <w:szCs w:val="24"/>
              </w:rPr>
            </w:pPr>
          </w:p>
          <w:p>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6868" w:type="dxa"/>
          </w:tcPr>
          <w:p>
            <w:pPr>
              <w:pStyle w:val="12"/>
              <w:spacing w:before="7"/>
              <w:rPr>
                <w:rFonts w:hint="eastAsia" w:ascii="宋体" w:hAnsi="宋体" w:eastAsia="宋体" w:cs="宋体"/>
                <w:sz w:val="24"/>
                <w:szCs w:val="24"/>
              </w:rPr>
            </w:pPr>
          </w:p>
          <w:p>
            <w:pPr>
              <w:pStyle w:val="12"/>
              <w:tabs>
                <w:tab w:val="left" w:pos="2418"/>
              </w:tabs>
              <w:spacing w:before="1"/>
              <w:ind w:left="107"/>
              <w:rPr>
                <w:rFonts w:hint="eastAsia" w:ascii="宋体" w:hAnsi="宋体" w:eastAsia="宋体" w:cs="宋体"/>
                <w:sz w:val="24"/>
                <w:szCs w:val="24"/>
              </w:rPr>
            </w:pPr>
            <w:sdt>
              <w:sdtPr>
                <w:rPr>
                  <w:rFonts w:hint="eastAsia" w:ascii="宋体" w:hAnsi="宋体" w:eastAsia="宋体" w:cs="宋体"/>
                  <w:sz w:val="24"/>
                  <w:szCs w:val="24"/>
                </w:rPr>
                <w:id w:val="249780449"/>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sdt>
              <w:sdtPr>
                <w:rPr>
                  <w:rFonts w:hint="eastAsia" w:ascii="宋体" w:hAnsi="宋体" w:eastAsia="宋体" w:cs="宋体"/>
                  <w:sz w:val="24"/>
                  <w:szCs w:val="24"/>
                </w:rPr>
                <w:id w:val="-416875725"/>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pPr>
              <w:pStyle w:val="12"/>
              <w:spacing w:before="11"/>
              <w:rPr>
                <w:rFonts w:hint="eastAsia" w:ascii="宋体" w:hAnsi="宋体" w:eastAsia="宋体" w:cs="宋体"/>
                <w:sz w:val="24"/>
                <w:szCs w:val="24"/>
              </w:rPr>
            </w:pPr>
          </w:p>
          <w:p>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20690601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sdt>
              <w:sdtPr>
                <w:rPr>
                  <w:rFonts w:hint="eastAsia" w:ascii="宋体" w:hAnsi="宋体" w:eastAsia="宋体" w:cs="宋体"/>
                  <w:sz w:val="24"/>
                  <w:szCs w:val="24"/>
                </w:rPr>
                <w:id w:val="-66658901"/>
                <w14:checkbox>
                  <w14:checked w14:val="1"/>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Wingdings 2" w:hAnsi="Wingdings 2" w:eastAsia="宋体" w:cs="宋体"/>
                    <w:sz w:val="24"/>
                    <w:szCs w:val="24"/>
                    <w:lang w:val="zh-CN" w:eastAsia="zh-CN" w:bidi="zh-CN"/>
                  </w:rPr>
                  <w:t>R</w:t>
                </w:r>
              </w:sdtContent>
            </w:sdt>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pPr>
              <w:pStyle w:val="12"/>
              <w:spacing w:before="8"/>
              <w:rPr>
                <w:rFonts w:hint="eastAsia" w:ascii="宋体" w:hAnsi="宋体" w:eastAsia="宋体" w:cs="宋体"/>
                <w:sz w:val="24"/>
                <w:szCs w:val="24"/>
              </w:rPr>
            </w:pPr>
          </w:p>
          <w:p>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84816743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sdt>
              <w:sdtPr>
                <w:rPr>
                  <w:rFonts w:hint="eastAsia" w:ascii="宋体" w:hAnsi="宋体" w:eastAsia="宋体" w:cs="宋体"/>
                  <w:sz w:val="24"/>
                  <w:szCs w:val="24"/>
                </w:rPr>
                <w:id w:val="41204969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pPr>
              <w:pStyle w:val="12"/>
              <w:spacing w:before="8"/>
              <w:rPr>
                <w:rFonts w:hint="eastAsia" w:ascii="宋体" w:hAnsi="宋体" w:eastAsia="宋体" w:cs="宋体"/>
                <w:sz w:val="24"/>
                <w:szCs w:val="24"/>
              </w:rPr>
            </w:pPr>
          </w:p>
          <w:p>
            <w:pPr>
              <w:pStyle w:val="12"/>
              <w:ind w:left="107"/>
              <w:rPr>
                <w:rFonts w:hint="eastAsia" w:ascii="宋体" w:hAnsi="宋体" w:eastAsia="宋体" w:cs="宋体"/>
                <w:sz w:val="24"/>
                <w:szCs w:val="24"/>
              </w:rPr>
            </w:pPr>
            <w:sdt>
              <w:sdtPr>
                <w:rPr>
                  <w:rFonts w:hint="eastAsia" w:ascii="宋体" w:hAnsi="宋体" w:eastAsia="宋体" w:cs="宋体"/>
                  <w:sz w:val="24"/>
                  <w:szCs w:val="24"/>
                </w:rPr>
                <w:id w:val="-133336691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现场参观</w:t>
            </w:r>
          </w:p>
          <w:p>
            <w:pPr>
              <w:pStyle w:val="1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1657" w:type="dxa"/>
            <w:vAlign w:val="center"/>
          </w:tcPr>
          <w:p>
            <w:pPr>
              <w:pStyle w:val="12"/>
              <w:spacing w:line="560" w:lineRule="exact"/>
              <w:ind w:left="107" w:right="96"/>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686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线上参与公司2023年度暨2024年第一季度业绩暨现金分红说明会的投资者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1657" w:type="dxa"/>
            <w:vAlign w:val="center"/>
          </w:tcPr>
          <w:p>
            <w:pPr>
              <w:pStyle w:val="12"/>
              <w:ind w:left="107"/>
              <w:rPr>
                <w:rFonts w:hint="eastAsia" w:ascii="宋体" w:hAnsi="宋体" w:eastAsia="宋体" w:cs="宋体"/>
                <w:b/>
                <w:bCs/>
                <w:sz w:val="24"/>
                <w:szCs w:val="24"/>
              </w:rPr>
            </w:pPr>
            <w:r>
              <w:rPr>
                <w:rFonts w:hint="eastAsia" w:ascii="宋体" w:hAnsi="宋体" w:eastAsia="宋体" w:cs="宋体"/>
                <w:b/>
                <w:bCs/>
                <w:sz w:val="24"/>
                <w:szCs w:val="24"/>
              </w:rPr>
              <w:t>时间</w:t>
            </w:r>
          </w:p>
        </w:tc>
        <w:tc>
          <w:tcPr>
            <w:tcW w:w="6868" w:type="dxa"/>
            <w:vAlign w:val="center"/>
          </w:tcPr>
          <w:p>
            <w:pPr>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lef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2024年04月30日 15:30-16:30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1657" w:type="dxa"/>
            <w:vAlign w:val="center"/>
          </w:tcPr>
          <w:p>
            <w:pPr>
              <w:pStyle w:val="12"/>
              <w:ind w:left="107"/>
              <w:rPr>
                <w:rFonts w:hint="eastAsia" w:ascii="宋体" w:hAnsi="宋体" w:eastAsia="宋体" w:cs="宋体"/>
                <w:b/>
                <w:bCs/>
                <w:sz w:val="24"/>
                <w:szCs w:val="24"/>
              </w:rPr>
            </w:pPr>
            <w:r>
              <w:rPr>
                <w:rFonts w:hint="eastAsia" w:ascii="宋体" w:hAnsi="宋体" w:eastAsia="宋体" w:cs="宋体"/>
                <w:b/>
                <w:bCs/>
                <w:sz w:val="24"/>
                <w:szCs w:val="24"/>
              </w:rPr>
              <w:t>地点</w:t>
            </w:r>
          </w:p>
        </w:tc>
        <w:tc>
          <w:tcPr>
            <w:tcW w:w="686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lef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价值在线（https://www.ir-online.cn/）网络互动</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1657" w:type="dxa"/>
            <w:vAlign w:val="center"/>
          </w:tcPr>
          <w:p>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上市公司接待人员姓名</w:t>
            </w:r>
          </w:p>
        </w:tc>
        <w:tc>
          <w:tcPr>
            <w:tcW w:w="686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董事及总裁历军、独立董事郑永琴、财务总监及董事会秘书翁启南、高级副总裁</w:t>
            </w:r>
            <w:r>
              <w:rPr>
                <w:rFonts w:hint="eastAsia" w:ascii="宋体" w:hAnsi="宋体" w:eastAsia="宋体" w:cs="宋体"/>
                <w:sz w:val="24"/>
                <w:szCs w:val="24"/>
                <w:lang w:val="en-US" w:eastAsia="zh-CN"/>
              </w:rPr>
              <w:t>李斌</w:t>
            </w:r>
            <w:r>
              <w:rPr>
                <w:rFonts w:hint="eastAsia" w:ascii="宋体" w:hAnsi="宋体" w:eastAsia="宋体" w:cs="宋体"/>
                <w:sz w:val="24"/>
                <w:szCs w:val="24"/>
              </w:rPr>
              <w:t>、证券事务代表王伟成等人员</w:t>
            </w:r>
            <w:r>
              <w:rPr>
                <w:rFonts w:hint="eastAsia" w:ascii="宋体" w:hAnsi="宋体" w:eastAsia="宋体" w:cs="宋体"/>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1657" w:type="dxa"/>
          </w:tcPr>
          <w:p>
            <w:pPr>
              <w:pStyle w:val="12"/>
              <w:rPr>
                <w:rFonts w:hint="eastAsia" w:ascii="宋体" w:hAnsi="宋体" w:eastAsia="宋体" w:cs="宋体"/>
                <w:b/>
                <w:bCs/>
                <w:sz w:val="24"/>
                <w:szCs w:val="24"/>
              </w:rPr>
            </w:pPr>
          </w:p>
          <w:p>
            <w:pPr>
              <w:pStyle w:val="12"/>
              <w:rPr>
                <w:rFonts w:hint="eastAsia" w:ascii="宋体" w:hAnsi="宋体" w:eastAsia="宋体" w:cs="宋体"/>
                <w:b/>
                <w:bCs/>
                <w:sz w:val="24"/>
                <w:szCs w:val="24"/>
              </w:rPr>
            </w:pPr>
          </w:p>
          <w:p>
            <w:pPr>
              <w:pStyle w:val="12"/>
              <w:spacing w:before="5"/>
              <w:rPr>
                <w:rFonts w:hint="eastAsia" w:ascii="宋体" w:hAnsi="宋体" w:eastAsia="宋体" w:cs="宋体"/>
                <w:b/>
                <w:bCs/>
                <w:sz w:val="24"/>
                <w:szCs w:val="24"/>
              </w:rPr>
            </w:pPr>
          </w:p>
          <w:p>
            <w:pPr>
              <w:pStyle w:val="12"/>
              <w:spacing w:before="1" w:line="499" w:lineRule="auto"/>
              <w:ind w:left="107" w:right="96"/>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6868" w:type="dxa"/>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100" w:beforeAutospacing="1" w:line="360" w:lineRule="auto"/>
              <w:ind w:firstLine="482" w:firstLineChars="200"/>
              <w:jc w:val="both"/>
              <w:textAlignment w:val="auto"/>
              <w:rPr>
                <w:rFonts w:hint="eastAsia" w:ascii="宋体" w:hAnsi="宋体" w:eastAsia="宋体" w:cs="宋体"/>
                <w:b w:val="0"/>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请问公司未来是否会通过回购注销的方式提升股东权益，做好市值管理？请问公司是否会加大对GPU相关产业链的投入？请问公司是否会涉足AI大模型的建设？</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答:您好，2024年1月3日，公司完成本次回购股份，公司通过集中竞价交易方式累计回购公司股份 784,041股，累积回购金额为29,996,466.63元（不含印花税、交易佣金等交易费用）。公司自上市以来，持续大规模投入高端计算核心技术研发，凭借多年积累的技术优势和产品优势，积极向计算生态业务延伸，完成“芯—端—云—算”的全产业链布局，公司将围绕国产核心部件不断提升高端计算机产品及解决方案研发制造能力。人工智能发展进入大模型驱动的全新时代，带动算力需求不断提升，公司布局建设“全国一体化算力服务平台”，通过网络链接各类算力基础设施资源，并建立以应用服务为导向的创新型算力服务平台，降低用户使用门槛、提高算力应用水平，为千行百业提供“集算力、数据、应用、运营、运维为一体的服务”。此外，随着人工智能的发展，传统的散热技术已难以解决高密度数据中心的散热问题，液冷技术成为AI硬件和集群散热的必然选择。公司的浸没相变液冷技术在技术指标、能效水平等方面具有优势，在商业化部署的规模也处于领先地位。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2</w:t>
            </w:r>
            <w:r>
              <w:rPr>
                <w:rFonts w:hint="eastAsia" w:ascii="宋体" w:hAnsi="宋体" w:eastAsia="宋体" w:cs="宋体"/>
                <w:b/>
                <w:sz w:val="24"/>
                <w:szCs w:val="24"/>
              </w:rPr>
              <w:t>.董秘你好，请问贵公司有没有信息安全？有没有为国家单位提供国产服务器和存储设备？</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公司主要从事高端计算机、存储、安全、数据中心产品的研发及制造，同时大力发展数字基础设施建设、智能计算等业务。随着国产化替代政策的深入，公司推出的国产高端计算机产品，已广泛应用于政府、运营商、金融、能源、互联网、教育等行业客户，覆盖基础设施、电子政务、企业信息化和城市信息化等领域。在信息安全方面，公司拥有流量分析、网络安全平台、工业控制等国产软硬件产品及解决方案，国产化安全平台已与多个头部安全厂商达成战略合作，共同打造高性能国产化安全产品，并面向数据中心防护、等保、企业安全、网络审计等多场景推出产品与方案。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3</w:t>
            </w:r>
            <w:r>
              <w:rPr>
                <w:rFonts w:hint="eastAsia" w:ascii="宋体" w:hAnsi="宋体" w:eastAsia="宋体" w:cs="宋体"/>
                <w:b/>
                <w:sz w:val="24"/>
                <w:szCs w:val="24"/>
              </w:rPr>
              <w:t>.公司在研发方面有何突破，对后继业绩有多大影响</w:t>
            </w:r>
            <w:r>
              <w:rPr>
                <w:rFonts w:hint="eastAsia" w:ascii="宋体" w:hAnsi="宋体" w:eastAsia="宋体" w:cs="宋体"/>
                <w:b/>
                <w:sz w:val="24"/>
                <w:szCs w:val="24"/>
                <w:lang w:eastAsia="zh-CN"/>
              </w:rPr>
              <w:t>？</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答:您好！报告期内，公司研发投入达24.44亿元，基于国产处理器的高端计算机、IO 模块、内置主动管控固件的募投项目顺利完成，并已在本年产生经济效益。公司将持续投入核心技术研发，增强高端计算领域核心竞争力，促进业绩持续增长。</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4</w:t>
            </w:r>
            <w:r>
              <w:rPr>
                <w:rFonts w:hint="eastAsia" w:ascii="宋体" w:hAnsi="宋体" w:eastAsia="宋体" w:cs="宋体"/>
                <w:b/>
                <w:sz w:val="24"/>
                <w:szCs w:val="24"/>
              </w:rPr>
              <w:t>.董秘你好，国家实行大规模设备更新，存量数据中心需要改造PUE不大于1.25，不然就要逐步关停，请问曙光目前的液冷方案能让存量数据中心改造成功吗？</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传统机房的能耗较大，全国各地已经出台对PUE的政策要求，传统机房改造的下游实际需求空间非常广阔，改造的需求量很大，但是具体的改造需求和空间大小还需要根据具体的行业、应用场景以及机房的实际情况进行评估和规划。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5</w:t>
            </w:r>
            <w:r>
              <w:rPr>
                <w:rFonts w:hint="eastAsia" w:ascii="宋体" w:hAnsi="宋体" w:eastAsia="宋体" w:cs="宋体"/>
                <w:b/>
                <w:sz w:val="24"/>
                <w:szCs w:val="24"/>
              </w:rPr>
              <w:t>.历总你好，请问贵公司新推出的工业数智化平台"曙睿 SugonRI"适用于什么行业？目前有多少客户？</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答:您好！"曙睿 SugonRI"是公司以IT及OT技术、知识高度融合，研发的集实时计算、工业通信、工业控制和工业安全于一体的工业数智底座，可应用于电力、交通、高端制造、能源等诸多行业。</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6</w:t>
            </w:r>
            <w:r>
              <w:rPr>
                <w:rFonts w:hint="eastAsia" w:ascii="宋体" w:hAnsi="宋体" w:eastAsia="宋体" w:cs="宋体"/>
                <w:b/>
                <w:sz w:val="24"/>
                <w:szCs w:val="24"/>
              </w:rPr>
              <w:t>.请问领导 国内服务器竞争格局如何？公司预计未来份额会如何变化？谢谢领导</w:t>
            </w:r>
            <w:r>
              <w:rPr>
                <w:rFonts w:hint="eastAsia" w:ascii="宋体" w:hAnsi="宋体" w:eastAsia="宋体" w:cs="宋体"/>
                <w:b/>
                <w:sz w:val="24"/>
                <w:szCs w:val="24"/>
                <w:lang w:eastAsia="zh-CN"/>
              </w:rPr>
              <w:t>。</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近年来国内服务器厂商凭借其技术优势和资金实力，正在逐渐提升在中国乃至全球服务器市场的竞争力。特别是随着国产服务器品牌的兴起，对外资品牌的替代趋势日益明显，国内专业服务器厂商正在加强技术创新，向高端市场发展。此外，随着云计算、大数据、人工智能等技术的快速发展，算力需求的增长将为服务器市场带来新的增长机遇。互联网、金融、电信等行业都在加大算力投入，这可能会进一步推动国内服务器厂商的市场份额增长</w:t>
            </w:r>
            <w:r>
              <w:rPr>
                <w:rFonts w:hint="eastAsia" w:ascii="宋体" w:hAnsi="宋体" w:eastAsia="宋体" w:cs="宋体"/>
                <w:b w:val="0"/>
                <w:sz w:val="24"/>
                <w:szCs w:val="24"/>
                <w:lang w:eastAsia="zh-CN"/>
              </w:rPr>
              <w:t>。</w:t>
            </w:r>
            <w:r>
              <w:rPr>
                <w:rFonts w:hint="eastAsia" w:ascii="宋体" w:hAnsi="宋体" w:eastAsia="宋体" w:cs="宋体"/>
                <w:b w:val="0"/>
                <w:sz w:val="24"/>
                <w:szCs w:val="24"/>
              </w:rPr>
              <w:t>公司坚定核心技术投入,推动主业纵深发展，围绕计算核心产业，坚持多元发展路径</w:t>
            </w:r>
            <w:r>
              <w:rPr>
                <w:rFonts w:hint="eastAsia" w:ascii="宋体" w:hAnsi="宋体" w:eastAsia="宋体" w:cs="宋体"/>
                <w:b w:val="0"/>
                <w:sz w:val="24"/>
                <w:szCs w:val="24"/>
                <w:lang w:eastAsia="zh-CN"/>
              </w:rPr>
              <w:t>，</w:t>
            </w:r>
            <w:r>
              <w:rPr>
                <w:rFonts w:hint="eastAsia" w:ascii="宋体" w:hAnsi="宋体" w:eastAsia="宋体" w:cs="宋体"/>
                <w:b w:val="0"/>
                <w:sz w:val="24"/>
                <w:szCs w:val="24"/>
              </w:rPr>
              <w:t>把握数字经济机遇，大力发展新质生产力，给市场提供更具竞争力的高端计算机产品及智能计算解决方案。</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7</w:t>
            </w:r>
            <w:r>
              <w:rPr>
                <w:rFonts w:hint="eastAsia" w:ascii="宋体" w:hAnsi="宋体" w:eastAsia="宋体" w:cs="宋体"/>
                <w:b/>
                <w:sz w:val="24"/>
                <w:szCs w:val="24"/>
              </w:rPr>
              <w:t>.董秘你好，请问贵公司能为人工智能大模型训练提供算力支持吗？</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为降低AI大模型的训练与推理成本，曙光在2019年就开始布局AI算力服务，将遍布全国的海量异构计算资源链接，形成一体化算力服务网络。该算力服务网实现了对算力、存储、网络以及数据等分布资源的整合，并通过统一的算力服务门户，根据科学计算、工程计算和智能计算等场景需求，向用户输出算力、算法、数据、应用高度协同的一体化资源。让用户无需投入大量成本购买硬件设施也可完成AI大模型训练等复杂计算工作。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8</w:t>
            </w:r>
            <w:r>
              <w:rPr>
                <w:rFonts w:hint="eastAsia" w:ascii="宋体" w:hAnsi="宋体" w:eastAsia="宋体" w:cs="宋体"/>
                <w:b/>
                <w:sz w:val="24"/>
                <w:szCs w:val="24"/>
              </w:rPr>
              <w:t>.公司在液冷数据中心解决方案方面的技术优势和市场表现如何？</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2023年曙光数创推出新一代一体化风液混冷先进数据中心，将风冷系统与液冷系统高效集成，破解了传统风液两系统双重运维成本难题。风冷液冷比例可动态按需部署，将散热效率提升至最高，一体化解决数据中心全部冷却需求。公司液冷散热解决方案可以为客户降低数据中心PUE、提升设备性能、提高单机架功率密度、节约机房面积。感谢您对公司的关注。</w:t>
            </w:r>
          </w:p>
          <w:p>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before="100" w:beforeAutospacing="1" w:line="36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关于本次业绩说明会活动的主要问题回答情况如上，更多互动情况详见“价值在线”（https://www.ir-online.cn/）。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1657" w:type="dxa"/>
            <w:vAlign w:val="center"/>
          </w:tcPr>
          <w:p>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日期</w:t>
            </w:r>
          </w:p>
        </w:tc>
        <w:tc>
          <w:tcPr>
            <w:tcW w:w="686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hint="eastAsia" w:ascii="宋体" w:hAnsi="宋体" w:eastAsia="宋体" w:cs="宋体"/>
                <w:sz w:val="24"/>
                <w:szCs w:val="24"/>
              </w:rPr>
            </w:pPr>
            <w:r>
              <w:rPr>
                <w:rFonts w:hint="eastAsia" w:ascii="宋体" w:hAnsi="宋体" w:eastAsia="宋体" w:cs="宋体"/>
                <w:sz w:val="24"/>
                <w:szCs w:val="24"/>
              </w:rPr>
              <w:t>2024年04月30日</w:t>
            </w:r>
          </w:p>
        </w:tc>
      </w:tr>
    </w:tbl>
    <w:p>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lZmMzMmRjYmYxN2Q5NThlOWNhZTU3Yzk3OTViZW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7E40567"/>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9964ADD"/>
    <w:rsid w:val="1BD06B6A"/>
    <w:rsid w:val="1F782BDE"/>
    <w:rsid w:val="204A6A53"/>
    <w:rsid w:val="23317869"/>
    <w:rsid w:val="25650CAE"/>
    <w:rsid w:val="26406598"/>
    <w:rsid w:val="28080056"/>
    <w:rsid w:val="28734C1A"/>
    <w:rsid w:val="28C72DDD"/>
    <w:rsid w:val="29EE0E64"/>
    <w:rsid w:val="2BC4020A"/>
    <w:rsid w:val="2EF84397"/>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5E50636"/>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932CAC"/>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5"/>
    <w:autoRedefine/>
    <w:qFormat/>
    <w:uiPriority w:val="0"/>
  </w:style>
  <w:style w:type="paragraph" w:styleId="4">
    <w:name w:val="Body Text"/>
    <w:basedOn w:val="1"/>
    <w:autoRedefine/>
    <w:qFormat/>
    <w:uiPriority w:val="1"/>
    <w:pPr>
      <w:ind w:left="220"/>
    </w:pPr>
    <w:rPr>
      <w:sz w:val="32"/>
      <w:szCs w:val="32"/>
    </w:rPr>
  </w:style>
  <w:style w:type="paragraph" w:styleId="5">
    <w:name w:val="Balloon Text"/>
    <w:basedOn w:val="1"/>
    <w:link w:val="17"/>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autoRedefine/>
    <w:qFormat/>
    <w:uiPriority w:val="0"/>
    <w:rPr>
      <w:b/>
      <w:bCs/>
    </w:rPr>
  </w:style>
  <w:style w:type="character" w:styleId="11">
    <w:name w:val="annotation reference"/>
    <w:basedOn w:val="10"/>
    <w:autoRedefine/>
    <w:qFormat/>
    <w:uiPriority w:val="0"/>
    <w:rPr>
      <w:sz w:val="21"/>
      <w:szCs w:val="21"/>
    </w:rPr>
  </w:style>
  <w:style w:type="paragraph" w:customStyle="1" w:styleId="12">
    <w:name w:val="Table Paragraph"/>
    <w:basedOn w:val="1"/>
    <w:autoRedefine/>
    <w:qFormat/>
    <w:uiPriority w:val="1"/>
  </w:style>
  <w:style w:type="character" w:customStyle="1" w:styleId="13">
    <w:name w:val="页眉 字符"/>
    <w:basedOn w:val="10"/>
    <w:link w:val="7"/>
    <w:autoRedefine/>
    <w:qFormat/>
    <w:uiPriority w:val="0"/>
    <w:rPr>
      <w:rFonts w:ascii="仿宋" w:hAnsi="仿宋" w:eastAsia="仿宋" w:cs="仿宋"/>
      <w:sz w:val="18"/>
      <w:szCs w:val="18"/>
      <w:lang w:val="zh-CN" w:bidi="zh-CN"/>
    </w:rPr>
  </w:style>
  <w:style w:type="character" w:customStyle="1" w:styleId="14">
    <w:name w:val="页脚 字符"/>
    <w:basedOn w:val="10"/>
    <w:link w:val="6"/>
    <w:autoRedefine/>
    <w:qFormat/>
    <w:uiPriority w:val="0"/>
    <w:rPr>
      <w:rFonts w:ascii="仿宋" w:hAnsi="仿宋" w:eastAsia="仿宋" w:cs="仿宋"/>
      <w:sz w:val="18"/>
      <w:szCs w:val="18"/>
      <w:lang w:val="zh-CN" w:bidi="zh-CN"/>
    </w:rPr>
  </w:style>
  <w:style w:type="character" w:customStyle="1" w:styleId="15">
    <w:name w:val="批注文字 字符"/>
    <w:basedOn w:val="10"/>
    <w:link w:val="3"/>
    <w:autoRedefine/>
    <w:qFormat/>
    <w:uiPriority w:val="0"/>
    <w:rPr>
      <w:rFonts w:ascii="仿宋" w:hAnsi="仿宋" w:eastAsia="仿宋" w:cs="仿宋"/>
      <w:sz w:val="22"/>
      <w:szCs w:val="22"/>
      <w:lang w:val="zh-CN" w:bidi="zh-CN"/>
    </w:rPr>
  </w:style>
  <w:style w:type="character" w:customStyle="1" w:styleId="16">
    <w:name w:val="批注主题 字符"/>
    <w:basedOn w:val="15"/>
    <w:link w:val="8"/>
    <w:autoRedefine/>
    <w:qFormat/>
    <w:uiPriority w:val="0"/>
    <w:rPr>
      <w:rFonts w:ascii="仿宋" w:hAnsi="仿宋" w:eastAsia="仿宋" w:cs="仿宋"/>
      <w:b/>
      <w:bCs/>
      <w:sz w:val="22"/>
      <w:szCs w:val="22"/>
      <w:lang w:val="zh-CN" w:bidi="zh-CN"/>
    </w:rPr>
  </w:style>
  <w:style w:type="character" w:customStyle="1" w:styleId="17">
    <w:name w:val="批注框文本 字符"/>
    <w:basedOn w:val="10"/>
    <w:link w:val="5"/>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Words>
  <Characters>262</Characters>
  <Lines>2</Lines>
  <Paragraphs>1</Paragraphs>
  <TotalTime>33</TotalTime>
  <ScaleCrop>false</ScaleCrop>
  <LinksUpToDate>false</LinksUpToDate>
  <CharactersWithSpaces>314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宸</cp:lastModifiedBy>
  <cp:lastPrinted>2024-04-30T09:14:00Z</cp:lastPrinted>
  <dcterms:modified xsi:type="dcterms:W3CDTF">2024-04-30T09:41:48Z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57D148DF2F764966BF4E1C38A6255FA2</vt:lpwstr>
  </property>
</Properties>
</file>