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FC5C7">
      <w:pPr>
        <w:rPr>
          <w:rFonts w:ascii="宋体" w:hAnsi="宋体" w:eastAsia="宋体"/>
          <w:sz w:val="28"/>
          <w:szCs w:val="28"/>
        </w:rPr>
      </w:pPr>
      <w:bookmarkStart w:id="0" w:name="_GoBack"/>
      <w:bookmarkEnd w:id="0"/>
      <w:r>
        <w:rPr>
          <w:rFonts w:hint="eastAsia" w:ascii="宋体" w:hAnsi="宋体" w:eastAsia="宋体"/>
          <w:sz w:val="28"/>
          <w:szCs w:val="28"/>
        </w:rPr>
        <w:t>证券代码：688334</w:t>
      </w:r>
      <w:r>
        <w:rPr>
          <w:rFonts w:ascii="宋体" w:hAnsi="宋体" w:eastAsia="宋体"/>
          <w:sz w:val="28"/>
          <w:szCs w:val="28"/>
        </w:rPr>
        <w:t xml:space="preserve">   </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证券简称：西高院</w:t>
      </w:r>
    </w:p>
    <w:p w14:paraId="3E0F497E">
      <w:pPr>
        <w:jc w:val="center"/>
        <w:rPr>
          <w:rFonts w:ascii="黑体" w:hAnsi="黑体" w:eastAsia="黑体"/>
          <w:b/>
          <w:bCs/>
          <w:sz w:val="36"/>
          <w:szCs w:val="36"/>
        </w:rPr>
      </w:pPr>
      <w:r>
        <w:rPr>
          <w:rFonts w:hint="eastAsia" w:ascii="黑体" w:hAnsi="黑体" w:eastAsia="黑体"/>
          <w:b/>
          <w:bCs/>
          <w:sz w:val="36"/>
          <w:szCs w:val="36"/>
        </w:rPr>
        <w:t>西安高压电器研究院股份有限公司</w:t>
      </w:r>
    </w:p>
    <w:p w14:paraId="5644089B">
      <w:pPr>
        <w:jc w:val="center"/>
        <w:rPr>
          <w:rFonts w:ascii="黑体" w:hAnsi="黑体" w:eastAsia="黑体"/>
          <w:b/>
          <w:bCs/>
          <w:sz w:val="36"/>
          <w:szCs w:val="36"/>
        </w:rPr>
      </w:pPr>
      <w:r>
        <w:rPr>
          <w:rFonts w:hint="eastAsia" w:ascii="黑体" w:hAnsi="黑体" w:eastAsia="黑体"/>
          <w:b/>
          <w:bCs/>
          <w:sz w:val="36"/>
          <w:szCs w:val="36"/>
        </w:rPr>
        <w:t>投资者关系活动记录表</w:t>
      </w:r>
    </w:p>
    <w:p w14:paraId="7B8E06CE">
      <w:pPr>
        <w:ind w:firstLine="560" w:firstLineChars="200"/>
        <w:jc w:val="right"/>
        <w:rPr>
          <w:rFonts w:ascii="宋体" w:hAnsi="宋体" w:eastAsia="宋体"/>
          <w:sz w:val="28"/>
          <w:szCs w:val="28"/>
        </w:rPr>
      </w:pPr>
      <w:r>
        <w:rPr>
          <w:rFonts w:hint="eastAsia" w:ascii="宋体" w:hAnsi="宋体" w:eastAsia="宋体"/>
          <w:sz w:val="28"/>
          <w:szCs w:val="28"/>
        </w:rPr>
        <w:t>编号：2</w:t>
      </w:r>
      <w:r>
        <w:rPr>
          <w:rFonts w:ascii="宋体" w:hAnsi="宋体" w:eastAsia="宋体"/>
          <w:sz w:val="28"/>
          <w:szCs w:val="28"/>
        </w:rPr>
        <w:t>02</w:t>
      </w:r>
      <w:r>
        <w:rPr>
          <w:rFonts w:hint="eastAsia" w:ascii="宋体" w:hAnsi="宋体" w:eastAsia="宋体"/>
          <w:sz w:val="28"/>
          <w:szCs w:val="28"/>
        </w:rPr>
        <w:t>5</w:t>
      </w:r>
      <w:r>
        <w:rPr>
          <w:rFonts w:ascii="宋体" w:hAnsi="宋体" w:eastAsia="宋体"/>
          <w:sz w:val="28"/>
          <w:szCs w:val="28"/>
        </w:rPr>
        <w:t>-0</w:t>
      </w:r>
      <w:r>
        <w:rPr>
          <w:rFonts w:hint="eastAsia" w:ascii="宋体" w:hAnsi="宋体" w:eastAsia="宋体"/>
          <w:sz w:val="28"/>
          <w:szCs w:val="28"/>
        </w:rPr>
        <w:t>04</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740"/>
      </w:tblGrid>
      <w:tr w14:paraId="4021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980" w:type="dxa"/>
            <w:vAlign w:val="center"/>
          </w:tcPr>
          <w:p w14:paraId="7FB80A23">
            <w:pPr>
              <w:jc w:val="center"/>
              <w:rPr>
                <w:rFonts w:ascii="宋体" w:hAnsi="宋体" w:eastAsia="宋体"/>
                <w:b/>
                <w:bCs/>
                <w:sz w:val="24"/>
                <w:szCs w:val="24"/>
              </w:rPr>
            </w:pPr>
            <w:r>
              <w:rPr>
                <w:rFonts w:hint="eastAsia" w:ascii="宋体" w:hAnsi="宋体" w:eastAsia="宋体"/>
                <w:b/>
                <w:bCs/>
                <w:sz w:val="24"/>
                <w:szCs w:val="24"/>
              </w:rPr>
              <w:t>投资者关系</w:t>
            </w:r>
          </w:p>
          <w:p w14:paraId="5998FFEB">
            <w:pPr>
              <w:jc w:val="center"/>
              <w:rPr>
                <w:rFonts w:ascii="宋体" w:hAnsi="宋体" w:eastAsia="宋体"/>
                <w:b/>
                <w:bCs/>
                <w:sz w:val="24"/>
                <w:szCs w:val="24"/>
              </w:rPr>
            </w:pPr>
            <w:r>
              <w:rPr>
                <w:rFonts w:hint="eastAsia" w:ascii="宋体" w:hAnsi="宋体" w:eastAsia="宋体"/>
                <w:b/>
                <w:bCs/>
                <w:sz w:val="24"/>
                <w:szCs w:val="24"/>
              </w:rPr>
              <w:t>活动类别</w:t>
            </w:r>
          </w:p>
        </w:tc>
        <w:tc>
          <w:tcPr>
            <w:tcW w:w="6740" w:type="dxa"/>
            <w:vAlign w:val="center"/>
          </w:tcPr>
          <w:p w14:paraId="666B9FF5">
            <w:pPr>
              <w:rPr>
                <w:rFonts w:ascii="宋体" w:hAnsi="宋体" w:eastAsia="宋体"/>
                <w:sz w:val="24"/>
                <w:szCs w:val="24"/>
              </w:rPr>
            </w:pPr>
            <w:r>
              <w:rPr>
                <w:rFonts w:hint="eastAsia" w:ascii="宋体" w:hAnsi="宋体" w:eastAsia="宋体"/>
                <w:sz w:val="24"/>
                <w:szCs w:val="24"/>
              </w:rPr>
              <w:t>√特定对象调研</w:t>
            </w:r>
            <w:r>
              <w:rPr>
                <w:rFonts w:ascii="宋体" w:hAnsi="宋体" w:eastAsia="宋体"/>
                <w:sz w:val="24"/>
                <w:szCs w:val="24"/>
              </w:rPr>
              <w:t xml:space="preserve">                □分析师会议</w:t>
            </w:r>
          </w:p>
          <w:p w14:paraId="5C7AF06B">
            <w:pPr>
              <w:rPr>
                <w:rFonts w:ascii="宋体" w:hAnsi="宋体" w:eastAsia="宋体"/>
                <w:sz w:val="24"/>
                <w:szCs w:val="24"/>
              </w:rPr>
            </w:pPr>
            <w:r>
              <w:rPr>
                <w:rFonts w:hint="eastAsia" w:ascii="宋体" w:hAnsi="宋体" w:eastAsia="宋体"/>
                <w:sz w:val="24"/>
                <w:szCs w:val="24"/>
              </w:rPr>
              <w:t>□媒体采访</w:t>
            </w:r>
            <w:r>
              <w:rPr>
                <w:rFonts w:ascii="宋体" w:hAnsi="宋体" w:eastAsia="宋体"/>
                <w:sz w:val="24"/>
                <w:szCs w:val="24"/>
              </w:rPr>
              <w:t xml:space="preserve">                    □业绩说明会</w:t>
            </w:r>
          </w:p>
          <w:p w14:paraId="14CBDB7E">
            <w:pPr>
              <w:rPr>
                <w:rFonts w:ascii="宋体" w:hAnsi="宋体" w:eastAsia="宋体"/>
                <w:sz w:val="24"/>
                <w:szCs w:val="24"/>
              </w:rPr>
            </w:pPr>
            <w:r>
              <w:rPr>
                <w:rFonts w:hint="eastAsia" w:ascii="宋体" w:hAnsi="宋体" w:eastAsia="宋体"/>
                <w:sz w:val="24"/>
                <w:szCs w:val="24"/>
              </w:rPr>
              <w:t>□新闻发布会</w:t>
            </w:r>
            <w:r>
              <w:rPr>
                <w:rFonts w:ascii="宋体" w:hAnsi="宋体" w:eastAsia="宋体"/>
                <w:sz w:val="24"/>
                <w:szCs w:val="24"/>
              </w:rPr>
              <w:t xml:space="preserve">                  □路演活动</w:t>
            </w:r>
          </w:p>
          <w:p w14:paraId="19F0ECF6">
            <w:pPr>
              <w:rPr>
                <w:rFonts w:ascii="宋体" w:hAnsi="宋体" w:eastAsia="宋体"/>
                <w:sz w:val="24"/>
                <w:szCs w:val="24"/>
              </w:rPr>
            </w:pPr>
            <w:r>
              <w:rPr>
                <w:rFonts w:hint="eastAsia" w:ascii="宋体" w:hAnsi="宋体" w:eastAsia="宋体"/>
                <w:sz w:val="24"/>
                <w:szCs w:val="24"/>
              </w:rPr>
              <w:t>□现场参观</w:t>
            </w:r>
            <w:r>
              <w:rPr>
                <w:rFonts w:ascii="宋体" w:hAnsi="宋体" w:eastAsia="宋体"/>
                <w:sz w:val="24"/>
                <w:szCs w:val="24"/>
              </w:rPr>
              <w:t xml:space="preserve">                    □电话会议</w:t>
            </w:r>
          </w:p>
          <w:p w14:paraId="58A189D4">
            <w:pPr>
              <w:rPr>
                <w:rFonts w:ascii="宋体" w:hAnsi="宋体" w:eastAsia="宋体"/>
                <w:sz w:val="24"/>
                <w:szCs w:val="24"/>
              </w:rPr>
            </w:pPr>
            <w:r>
              <w:rPr>
                <w:rFonts w:hint="eastAsia" w:ascii="宋体" w:hAnsi="宋体" w:eastAsia="宋体"/>
                <w:sz w:val="24"/>
                <w:szCs w:val="24"/>
              </w:rPr>
              <w:t>□其他</w:t>
            </w:r>
          </w:p>
        </w:tc>
      </w:tr>
      <w:tr w14:paraId="301C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0" w:type="dxa"/>
            <w:vAlign w:val="center"/>
          </w:tcPr>
          <w:p w14:paraId="235C8CAD">
            <w:pPr>
              <w:jc w:val="center"/>
              <w:rPr>
                <w:rFonts w:ascii="宋体" w:hAnsi="宋体" w:eastAsia="宋体"/>
                <w:b/>
                <w:bCs/>
                <w:sz w:val="24"/>
                <w:szCs w:val="24"/>
              </w:rPr>
            </w:pPr>
            <w:r>
              <w:rPr>
                <w:rFonts w:hint="eastAsia" w:ascii="宋体" w:hAnsi="宋体" w:eastAsia="宋体"/>
                <w:b/>
                <w:bCs/>
                <w:sz w:val="24"/>
                <w:szCs w:val="24"/>
              </w:rPr>
              <w:t>参与单位名称</w:t>
            </w:r>
          </w:p>
        </w:tc>
        <w:tc>
          <w:tcPr>
            <w:tcW w:w="6740" w:type="dxa"/>
            <w:vAlign w:val="center"/>
          </w:tcPr>
          <w:p w14:paraId="6BCFBE6F">
            <w:pPr>
              <w:rPr>
                <w:rFonts w:ascii="宋体" w:hAnsi="宋体" w:eastAsia="宋体"/>
                <w:sz w:val="24"/>
                <w:szCs w:val="24"/>
              </w:rPr>
            </w:pPr>
            <w:r>
              <w:rPr>
                <w:rFonts w:hint="eastAsia" w:ascii="宋体" w:hAnsi="宋体" w:eastAsia="宋体"/>
                <w:sz w:val="24"/>
                <w:szCs w:val="24"/>
              </w:rPr>
              <w:t>山东国惠基金管理有限公司</w:t>
            </w:r>
          </w:p>
          <w:p w14:paraId="23B54C1C">
            <w:pPr>
              <w:rPr>
                <w:rFonts w:ascii="宋体" w:hAnsi="宋体" w:eastAsia="宋体"/>
                <w:sz w:val="24"/>
                <w:szCs w:val="24"/>
              </w:rPr>
            </w:pPr>
            <w:r>
              <w:rPr>
                <w:rFonts w:hint="eastAsia" w:ascii="宋体" w:hAnsi="宋体" w:eastAsia="宋体"/>
                <w:sz w:val="24"/>
                <w:szCs w:val="24"/>
              </w:rPr>
              <w:t>方正证券股份有限公司</w:t>
            </w:r>
          </w:p>
          <w:p w14:paraId="08FCCC46">
            <w:pPr>
              <w:rPr>
                <w:rFonts w:ascii="宋体" w:hAnsi="宋体" w:eastAsia="宋体"/>
                <w:sz w:val="24"/>
                <w:szCs w:val="24"/>
              </w:rPr>
            </w:pPr>
            <w:r>
              <w:rPr>
                <w:rFonts w:hint="eastAsia" w:ascii="宋体" w:hAnsi="宋体" w:eastAsia="宋体"/>
                <w:sz w:val="24"/>
                <w:szCs w:val="24"/>
              </w:rPr>
              <w:t>国信证券股份有限公司</w:t>
            </w:r>
          </w:p>
          <w:p w14:paraId="43A4EA7F">
            <w:pPr>
              <w:rPr>
                <w:rFonts w:ascii="宋体" w:hAnsi="宋体" w:eastAsia="宋体"/>
                <w:sz w:val="24"/>
                <w:szCs w:val="24"/>
              </w:rPr>
            </w:pPr>
            <w:r>
              <w:rPr>
                <w:rFonts w:hint="eastAsia" w:ascii="宋体" w:hAnsi="宋体" w:eastAsia="宋体"/>
                <w:sz w:val="24"/>
                <w:szCs w:val="24"/>
              </w:rPr>
              <w:t>深圳市高新投集团有限公司</w:t>
            </w:r>
          </w:p>
          <w:p w14:paraId="4DCBC73E">
            <w:pPr>
              <w:rPr>
                <w:rFonts w:ascii="宋体" w:hAnsi="宋体" w:eastAsia="宋体"/>
                <w:sz w:val="24"/>
                <w:szCs w:val="24"/>
              </w:rPr>
            </w:pPr>
            <w:r>
              <w:rPr>
                <w:rFonts w:hint="eastAsia" w:ascii="宋体" w:hAnsi="宋体" w:eastAsia="宋体"/>
                <w:sz w:val="24"/>
                <w:szCs w:val="24"/>
              </w:rPr>
              <w:t>国盛证券股份有限公司</w:t>
            </w:r>
          </w:p>
        </w:tc>
      </w:tr>
      <w:tr w14:paraId="2A70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0" w:type="dxa"/>
            <w:vAlign w:val="center"/>
          </w:tcPr>
          <w:p w14:paraId="29380DD3">
            <w:pPr>
              <w:jc w:val="center"/>
              <w:rPr>
                <w:rFonts w:ascii="宋体" w:hAnsi="宋体" w:eastAsia="宋体"/>
                <w:b/>
                <w:bCs/>
                <w:sz w:val="24"/>
                <w:szCs w:val="24"/>
              </w:rPr>
            </w:pPr>
            <w:r>
              <w:rPr>
                <w:rFonts w:hint="eastAsia" w:ascii="宋体" w:hAnsi="宋体" w:eastAsia="宋体"/>
                <w:b/>
                <w:bCs/>
                <w:sz w:val="24"/>
                <w:szCs w:val="24"/>
              </w:rPr>
              <w:t>会议时间</w:t>
            </w:r>
          </w:p>
        </w:tc>
        <w:tc>
          <w:tcPr>
            <w:tcW w:w="6740" w:type="dxa"/>
            <w:vAlign w:val="center"/>
          </w:tcPr>
          <w:p w14:paraId="41CE5760">
            <w:pPr>
              <w:rPr>
                <w:rFonts w:ascii="宋体" w:hAnsi="宋体" w:eastAsia="宋体"/>
                <w:sz w:val="24"/>
                <w:szCs w:val="24"/>
              </w:rPr>
            </w:pPr>
            <w:r>
              <w:rPr>
                <w:rFonts w:ascii="宋体" w:hAnsi="宋体" w:eastAsia="宋体"/>
                <w:sz w:val="24"/>
                <w:szCs w:val="24"/>
              </w:rPr>
              <w:t>202</w:t>
            </w:r>
            <w:r>
              <w:rPr>
                <w:rFonts w:hint="eastAsia" w:ascii="宋体" w:hAnsi="宋体" w:eastAsia="宋体"/>
                <w:sz w:val="24"/>
                <w:szCs w:val="24"/>
              </w:rPr>
              <w:t>5</w:t>
            </w:r>
            <w:r>
              <w:rPr>
                <w:rFonts w:ascii="宋体" w:hAnsi="宋体" w:eastAsia="宋体"/>
                <w:sz w:val="24"/>
                <w:szCs w:val="24"/>
              </w:rPr>
              <w:t>年</w:t>
            </w:r>
            <w:r>
              <w:rPr>
                <w:rFonts w:hint="eastAsia" w:ascii="宋体" w:hAnsi="宋体" w:eastAsia="宋体"/>
                <w:sz w:val="24"/>
                <w:szCs w:val="24"/>
              </w:rPr>
              <w:t>6</w:t>
            </w:r>
            <w:r>
              <w:rPr>
                <w:rFonts w:ascii="宋体" w:hAnsi="宋体" w:eastAsia="宋体"/>
                <w:sz w:val="24"/>
                <w:szCs w:val="24"/>
              </w:rPr>
              <w:t>月</w:t>
            </w:r>
            <w:r>
              <w:rPr>
                <w:rFonts w:hint="eastAsia" w:ascii="宋体" w:hAnsi="宋体" w:eastAsia="宋体"/>
                <w:sz w:val="24"/>
                <w:szCs w:val="24"/>
              </w:rPr>
              <w:t>5</w:t>
            </w:r>
            <w:r>
              <w:rPr>
                <w:rFonts w:ascii="宋体" w:hAnsi="宋体" w:eastAsia="宋体"/>
                <w:sz w:val="24"/>
                <w:szCs w:val="24"/>
              </w:rPr>
              <w:t>日</w:t>
            </w:r>
          </w:p>
        </w:tc>
      </w:tr>
      <w:tr w14:paraId="2C29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0" w:type="dxa"/>
            <w:vAlign w:val="center"/>
          </w:tcPr>
          <w:p w14:paraId="2A72C254">
            <w:pPr>
              <w:jc w:val="center"/>
              <w:rPr>
                <w:rFonts w:ascii="宋体" w:hAnsi="宋体" w:eastAsia="宋体"/>
                <w:b/>
                <w:bCs/>
                <w:sz w:val="24"/>
                <w:szCs w:val="24"/>
              </w:rPr>
            </w:pPr>
            <w:r>
              <w:rPr>
                <w:rFonts w:hint="eastAsia" w:ascii="宋体" w:hAnsi="宋体" w:eastAsia="宋体"/>
                <w:b/>
                <w:bCs/>
                <w:sz w:val="24"/>
                <w:szCs w:val="24"/>
              </w:rPr>
              <w:t>会议地点</w:t>
            </w:r>
          </w:p>
        </w:tc>
        <w:tc>
          <w:tcPr>
            <w:tcW w:w="6740" w:type="dxa"/>
            <w:vAlign w:val="center"/>
          </w:tcPr>
          <w:p w14:paraId="4310C1C5">
            <w:pPr>
              <w:rPr>
                <w:rFonts w:ascii="宋体" w:hAnsi="宋体" w:eastAsia="宋体"/>
                <w:sz w:val="24"/>
                <w:szCs w:val="24"/>
              </w:rPr>
            </w:pPr>
            <w:r>
              <w:rPr>
                <w:rFonts w:hint="eastAsia" w:ascii="宋体" w:hAnsi="宋体" w:eastAsia="宋体"/>
                <w:sz w:val="24"/>
                <w:szCs w:val="24"/>
              </w:rPr>
              <w:t>西高院会议室</w:t>
            </w:r>
          </w:p>
        </w:tc>
      </w:tr>
      <w:tr w14:paraId="090F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80" w:type="dxa"/>
            <w:vAlign w:val="center"/>
          </w:tcPr>
          <w:p w14:paraId="17E15081">
            <w:pPr>
              <w:jc w:val="center"/>
              <w:rPr>
                <w:rFonts w:ascii="宋体" w:hAnsi="宋体" w:eastAsia="宋体"/>
                <w:b/>
                <w:bCs/>
                <w:sz w:val="24"/>
                <w:szCs w:val="24"/>
              </w:rPr>
            </w:pPr>
            <w:r>
              <w:rPr>
                <w:rFonts w:hint="eastAsia" w:ascii="宋体" w:hAnsi="宋体" w:eastAsia="宋体"/>
                <w:b/>
                <w:bCs/>
                <w:sz w:val="24"/>
                <w:szCs w:val="24"/>
              </w:rPr>
              <w:t>公司接待人员</w:t>
            </w:r>
          </w:p>
        </w:tc>
        <w:tc>
          <w:tcPr>
            <w:tcW w:w="6740" w:type="dxa"/>
            <w:vAlign w:val="center"/>
          </w:tcPr>
          <w:p w14:paraId="64F7EC66">
            <w:pPr>
              <w:rPr>
                <w:rFonts w:ascii="宋体" w:hAnsi="宋体" w:eastAsia="宋体"/>
                <w:sz w:val="24"/>
                <w:szCs w:val="24"/>
              </w:rPr>
            </w:pPr>
            <w:r>
              <w:rPr>
                <w:rFonts w:hint="eastAsia" w:ascii="宋体" w:hAnsi="宋体" w:eastAsia="宋体"/>
                <w:sz w:val="24"/>
                <w:szCs w:val="24"/>
              </w:rPr>
              <w:t>董事会秘书 王辉</w:t>
            </w:r>
          </w:p>
          <w:p w14:paraId="7DB64AE4">
            <w:pPr>
              <w:rPr>
                <w:rFonts w:ascii="宋体" w:hAnsi="宋体" w:eastAsia="宋体"/>
                <w:sz w:val="24"/>
                <w:szCs w:val="24"/>
              </w:rPr>
            </w:pPr>
            <w:r>
              <w:rPr>
                <w:rFonts w:hint="eastAsia" w:ascii="宋体" w:hAnsi="宋体" w:eastAsia="宋体"/>
                <w:sz w:val="24"/>
                <w:szCs w:val="24"/>
              </w:rPr>
              <w:t>证券事务代表 韩瑞</w:t>
            </w:r>
          </w:p>
          <w:p w14:paraId="572EA098">
            <w:pPr>
              <w:rPr>
                <w:rFonts w:ascii="宋体" w:hAnsi="宋体" w:eastAsia="宋体"/>
                <w:sz w:val="24"/>
                <w:szCs w:val="24"/>
              </w:rPr>
            </w:pPr>
            <w:r>
              <w:rPr>
                <w:rFonts w:hint="eastAsia" w:ascii="宋体" w:hAnsi="宋体" w:eastAsia="宋体"/>
                <w:sz w:val="24"/>
                <w:szCs w:val="24"/>
              </w:rPr>
              <w:t>证券事务专员 王译涵</w:t>
            </w:r>
          </w:p>
        </w:tc>
      </w:tr>
      <w:tr w14:paraId="794B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80" w:type="dxa"/>
            <w:vAlign w:val="center"/>
          </w:tcPr>
          <w:p w14:paraId="45B87E5E">
            <w:pPr>
              <w:jc w:val="center"/>
              <w:rPr>
                <w:rFonts w:ascii="宋体" w:hAnsi="宋体" w:eastAsia="宋体"/>
                <w:b/>
                <w:bCs/>
                <w:sz w:val="24"/>
                <w:szCs w:val="24"/>
              </w:rPr>
            </w:pPr>
            <w:r>
              <w:rPr>
                <w:rFonts w:hint="eastAsia" w:ascii="宋体" w:hAnsi="宋体" w:eastAsia="宋体"/>
                <w:b/>
                <w:bCs/>
                <w:sz w:val="24"/>
                <w:szCs w:val="24"/>
              </w:rPr>
              <w:t>投资者关系活动主要内容介绍</w:t>
            </w:r>
          </w:p>
        </w:tc>
        <w:tc>
          <w:tcPr>
            <w:tcW w:w="6740" w:type="dxa"/>
            <w:vAlign w:val="center"/>
          </w:tcPr>
          <w:p w14:paraId="510E7FF5">
            <w:pPr>
              <w:ind w:firstLine="482" w:firstLineChars="200"/>
              <w:rPr>
                <w:rFonts w:ascii="宋体" w:hAnsi="宋体" w:eastAsia="宋体"/>
                <w:sz w:val="24"/>
                <w:szCs w:val="24"/>
              </w:rPr>
            </w:pPr>
            <w:r>
              <w:rPr>
                <w:rFonts w:hint="eastAsia" w:ascii="宋体" w:hAnsi="宋体" w:eastAsia="宋体"/>
                <w:b/>
                <w:bCs/>
                <w:sz w:val="24"/>
                <w:szCs w:val="24"/>
              </w:rPr>
              <w:t>第一部分</w:t>
            </w:r>
            <w:r>
              <w:rPr>
                <w:rFonts w:hint="eastAsia" w:ascii="宋体" w:hAnsi="宋体" w:eastAsia="宋体"/>
                <w:sz w:val="24"/>
                <w:szCs w:val="24"/>
              </w:rPr>
              <w:t>：公司2024年年度及2025年一季度经营情况说明，介绍公司概况、核心技术、市场拓展、业务发展、市值管理等；</w:t>
            </w:r>
          </w:p>
          <w:p w14:paraId="118B4D72">
            <w:pPr>
              <w:ind w:firstLine="482" w:firstLineChars="200"/>
              <w:rPr>
                <w:rFonts w:ascii="宋体" w:hAnsi="宋体" w:eastAsia="宋体"/>
                <w:sz w:val="24"/>
                <w:szCs w:val="24"/>
              </w:rPr>
            </w:pPr>
            <w:r>
              <w:rPr>
                <w:rFonts w:hint="eastAsia" w:ascii="宋体" w:hAnsi="宋体" w:eastAsia="宋体"/>
                <w:b/>
                <w:bCs/>
                <w:sz w:val="24"/>
                <w:szCs w:val="24"/>
              </w:rPr>
              <w:t>第二部分</w:t>
            </w:r>
            <w:r>
              <w:rPr>
                <w:rFonts w:hint="eastAsia" w:ascii="宋体" w:hAnsi="宋体" w:eastAsia="宋体"/>
                <w:sz w:val="24"/>
                <w:szCs w:val="24"/>
              </w:rPr>
              <w:t>：问答环节</w:t>
            </w:r>
          </w:p>
          <w:p w14:paraId="23DC1D3E">
            <w:pPr>
              <w:ind w:firstLine="480" w:firstLineChars="200"/>
              <w:rPr>
                <w:rFonts w:ascii="宋体" w:hAnsi="宋体" w:eastAsia="宋体"/>
                <w:sz w:val="24"/>
                <w:szCs w:val="24"/>
              </w:rPr>
            </w:pPr>
            <w:r>
              <w:rPr>
                <w:rFonts w:hint="eastAsia" w:ascii="宋体" w:hAnsi="宋体" w:eastAsia="宋体"/>
                <w:sz w:val="24"/>
                <w:szCs w:val="24"/>
              </w:rPr>
              <w:t>问题1：公司合同负债持续增长的原因？</w:t>
            </w:r>
          </w:p>
          <w:p w14:paraId="154EEA34">
            <w:pPr>
              <w:ind w:firstLine="480" w:firstLineChars="200"/>
              <w:rPr>
                <w:rFonts w:ascii="宋体" w:hAnsi="宋体" w:eastAsia="宋体"/>
                <w:sz w:val="24"/>
                <w:szCs w:val="24"/>
              </w:rPr>
            </w:pPr>
            <w:r>
              <w:rPr>
                <w:rFonts w:hint="eastAsia" w:ascii="宋体" w:hAnsi="宋体" w:eastAsia="宋体"/>
                <w:sz w:val="24"/>
                <w:szCs w:val="24"/>
              </w:rPr>
              <w:t>答：随着业务规模持续扩张，西高院订单量呈现稳定增长态势。为保障业务有序推进与资金稳健流转，公司始终秉持严谨的财务管理原则，采用预收款模式开展业务合作，即在客户明确试验需求并完成委托手续后，即按合同约定收取一定比例预付款项。随着订单量的不断攀升，使得公司合同负债相应增加。</w:t>
            </w:r>
          </w:p>
          <w:p w14:paraId="7AF569CD">
            <w:pPr>
              <w:ind w:firstLine="480" w:firstLineChars="200"/>
              <w:rPr>
                <w:rFonts w:ascii="宋体" w:hAnsi="宋体" w:eastAsia="宋体"/>
                <w:sz w:val="24"/>
                <w:szCs w:val="24"/>
              </w:rPr>
            </w:pPr>
            <w:r>
              <w:rPr>
                <w:rFonts w:hint="eastAsia" w:ascii="宋体" w:hAnsi="宋体" w:eastAsia="宋体"/>
                <w:sz w:val="24"/>
                <w:szCs w:val="24"/>
              </w:rPr>
              <w:t>问题2：公司作为科创企业的研发投入情况，和同行业公司相比如何？</w:t>
            </w:r>
          </w:p>
          <w:p w14:paraId="5F5D0588">
            <w:pPr>
              <w:ind w:firstLine="480" w:firstLineChars="200"/>
              <w:rPr>
                <w:rFonts w:ascii="宋体" w:hAnsi="宋体" w:eastAsia="宋体"/>
                <w:sz w:val="24"/>
                <w:szCs w:val="24"/>
                <w:highlight w:val="none"/>
              </w:rPr>
            </w:pPr>
            <w:r>
              <w:rPr>
                <w:rFonts w:hint="eastAsia" w:ascii="宋体" w:hAnsi="宋体" w:eastAsia="宋体"/>
                <w:sz w:val="24"/>
                <w:szCs w:val="24"/>
              </w:rPr>
              <w:t>答：西高院作为在技术研发与技术咨询领域具备深厚专业实力的科研机构，始终将科技创新置于企业发展的核心战略位置。为积极应对新型电力系统改革所催生的低能耗、低排放技术迭代与设备更新需求，公司不断加大研发投入力度，2024年度研发投入8479.79万元</w:t>
            </w:r>
            <w:r>
              <w:rPr>
                <w:rFonts w:hint="eastAsia" w:ascii="宋体" w:hAnsi="宋体" w:eastAsia="宋体"/>
                <w:sz w:val="24"/>
                <w:szCs w:val="24"/>
                <w:highlight w:val="none"/>
              </w:rPr>
              <w:t>。</w:t>
            </w:r>
          </w:p>
          <w:p w14:paraId="007126EF">
            <w:pPr>
              <w:ind w:firstLine="480" w:firstLineChars="200"/>
              <w:rPr>
                <w:rFonts w:ascii="宋体" w:hAnsi="宋体" w:eastAsia="宋体"/>
                <w:sz w:val="24"/>
                <w:szCs w:val="24"/>
              </w:rPr>
            </w:pPr>
            <w:r>
              <w:rPr>
                <w:rFonts w:hint="eastAsia" w:ascii="宋体" w:hAnsi="宋体" w:eastAsia="宋体"/>
                <w:sz w:val="24"/>
                <w:szCs w:val="24"/>
              </w:rPr>
              <w:t>问题3：公司研发主要投向哪些领域和技术方向？</w:t>
            </w:r>
          </w:p>
          <w:p w14:paraId="24EA5B84">
            <w:pPr>
              <w:ind w:firstLine="480" w:firstLineChars="200"/>
              <w:rPr>
                <w:rFonts w:ascii="宋体" w:hAnsi="宋体" w:eastAsia="宋体"/>
                <w:sz w:val="24"/>
                <w:szCs w:val="24"/>
              </w:rPr>
            </w:pPr>
            <w:r>
              <w:rPr>
                <w:rFonts w:hint="eastAsia" w:ascii="宋体" w:hAnsi="宋体" w:eastAsia="宋体"/>
                <w:sz w:val="24"/>
                <w:szCs w:val="24"/>
              </w:rPr>
              <w:t>答：公司主要围绕高端化、智能化、绿色化的主基调，开展输变电装备基础技术研究、产品关键技术研究、检测技术研究、绿色认证、数字智造等领域技术布局。</w:t>
            </w:r>
          </w:p>
          <w:p w14:paraId="6C023C2F">
            <w:pPr>
              <w:ind w:firstLine="480" w:firstLineChars="200"/>
              <w:rPr>
                <w:rFonts w:ascii="宋体" w:hAnsi="宋体" w:eastAsia="宋体"/>
                <w:sz w:val="24"/>
                <w:szCs w:val="24"/>
              </w:rPr>
            </w:pPr>
            <w:r>
              <w:rPr>
                <w:rFonts w:hint="eastAsia" w:ascii="宋体" w:hAnsi="宋体" w:eastAsia="宋体"/>
                <w:sz w:val="24"/>
                <w:szCs w:val="24"/>
              </w:rPr>
              <w:t>问题4：日前政策鼓励放宽并购重组，公司是否有相关的计划？</w:t>
            </w:r>
          </w:p>
          <w:p w14:paraId="19E1CFAB">
            <w:pPr>
              <w:ind w:firstLine="480" w:firstLineChars="200"/>
              <w:rPr>
                <w:rFonts w:ascii="宋体" w:hAnsi="宋体" w:eastAsia="宋体"/>
                <w:sz w:val="24"/>
                <w:szCs w:val="24"/>
              </w:rPr>
            </w:pPr>
            <w:r>
              <w:rPr>
                <w:rFonts w:hint="eastAsia" w:ascii="宋体" w:hAnsi="宋体" w:eastAsia="宋体"/>
                <w:sz w:val="24"/>
                <w:szCs w:val="24"/>
              </w:rPr>
              <w:t>答：公司会将外延式并购作为重要发展方式，对具有强专业能力和技术优势的企业进行考量，通过资源整合与优势互补提升核心竞争力。未来如有相关计划，公司将及时进行信息披露。</w:t>
            </w:r>
          </w:p>
          <w:p w14:paraId="337AB5EB">
            <w:pPr>
              <w:ind w:firstLine="480" w:firstLineChars="200"/>
              <w:rPr>
                <w:rFonts w:ascii="宋体" w:hAnsi="宋体" w:eastAsia="宋体"/>
                <w:sz w:val="24"/>
                <w:szCs w:val="24"/>
              </w:rPr>
            </w:pPr>
            <w:r>
              <w:rPr>
                <w:rFonts w:hint="eastAsia" w:ascii="宋体" w:hAnsi="宋体" w:eastAsia="宋体"/>
                <w:sz w:val="24"/>
                <w:szCs w:val="24"/>
              </w:rPr>
              <w:t>问题5：西高院的业绩表现一直不错，但股价一直不温不火，请问公司有无市值管理计划？</w:t>
            </w:r>
          </w:p>
          <w:p w14:paraId="3D29F38E">
            <w:pPr>
              <w:ind w:firstLine="480" w:firstLineChars="200"/>
              <w:rPr>
                <w:rFonts w:ascii="宋体" w:hAnsi="宋体" w:eastAsia="宋体"/>
                <w:sz w:val="24"/>
                <w:szCs w:val="24"/>
              </w:rPr>
            </w:pPr>
            <w:r>
              <w:rPr>
                <w:rFonts w:hint="eastAsia" w:ascii="宋体" w:hAnsi="宋体" w:eastAsia="宋体"/>
                <w:sz w:val="24"/>
                <w:szCs w:val="24"/>
              </w:rPr>
              <w:t>答：公司积极响应监管号召，高度重视市值管理工作，已经制定并发布了《市值管理制度》。2025年，公司将以稳健务实的态度，聚焦主责主业，增强核心功能、提升核心竞争力，不断提升公司投资价值。通过充分、合规的信息披露，增强公司透明度，引导公司的市场价值与内在价值趋同，同时，利用资本运作、权益管理、投资者关系管理等手段，使公司价值充分体现，建立稳定和优质的投资者基础，获得长期的市场支持，从而达到公司整体利益最大化和股东财富增长并举的目标。</w:t>
            </w:r>
          </w:p>
          <w:p w14:paraId="79B2A339">
            <w:pPr>
              <w:ind w:firstLine="480" w:firstLineChars="200"/>
              <w:rPr>
                <w:rFonts w:ascii="宋体" w:hAnsi="宋体" w:eastAsia="宋体"/>
                <w:sz w:val="24"/>
                <w:szCs w:val="24"/>
              </w:rPr>
            </w:pPr>
            <w:r>
              <w:rPr>
                <w:rFonts w:hint="eastAsia" w:ascii="宋体" w:hAnsi="宋体" w:eastAsia="宋体"/>
                <w:sz w:val="24"/>
                <w:szCs w:val="24"/>
              </w:rPr>
              <w:t>问题6：年度分红预计什么时间实施？什么时候进行股权登记？</w:t>
            </w:r>
          </w:p>
          <w:p w14:paraId="46CAA617">
            <w:pPr>
              <w:ind w:firstLine="480" w:firstLineChars="200"/>
              <w:rPr>
                <w:rFonts w:hint="eastAsia" w:ascii="宋体" w:hAnsi="宋体" w:eastAsia="宋体"/>
                <w:sz w:val="24"/>
                <w:szCs w:val="24"/>
              </w:rPr>
            </w:pPr>
            <w:r>
              <w:rPr>
                <w:rFonts w:hint="eastAsia" w:ascii="宋体" w:hAnsi="宋体" w:eastAsia="宋体"/>
                <w:sz w:val="24"/>
                <w:szCs w:val="24"/>
              </w:rPr>
              <w:t>答：公司2024年度利润分配预案已获股东大会审议通过并正式生效。根据最新公告安排，公司已于5月30日正式发布《2024年度权益分派实施公告》，其中已明确披露分红实施全流程关键节点：股权登记日为2025年6月5日，除权除息及派息将于2025年6月6日同步执行。投资者可登录指定信息披露平台查阅完整公告，以获取具体时间安排及操作指引。</w:t>
            </w:r>
          </w:p>
          <w:p w14:paraId="23BB9197">
            <w:pPr>
              <w:ind w:firstLine="480" w:firstLineChars="200"/>
              <w:rPr>
                <w:rFonts w:ascii="宋体" w:hAnsi="宋体" w:eastAsia="宋体"/>
                <w:sz w:val="24"/>
                <w:szCs w:val="24"/>
              </w:rPr>
            </w:pPr>
            <w:r>
              <w:rPr>
                <w:rFonts w:hint="eastAsia" w:ascii="宋体" w:hAnsi="宋体" w:eastAsia="宋体"/>
                <w:sz w:val="24"/>
                <w:szCs w:val="24"/>
              </w:rPr>
              <w:t>问题7：请问公司在“碳中和”领域，有哪些服务和贡献？</w:t>
            </w:r>
          </w:p>
          <w:p w14:paraId="0A19DB2B">
            <w:pPr>
              <w:ind w:firstLine="480" w:firstLineChars="200"/>
              <w:rPr>
                <w:rFonts w:ascii="宋体" w:hAnsi="宋体" w:eastAsia="宋体"/>
                <w:sz w:val="24"/>
                <w:szCs w:val="24"/>
              </w:rPr>
            </w:pPr>
            <w:r>
              <w:rPr>
                <w:rFonts w:hint="eastAsia" w:ascii="宋体" w:hAnsi="宋体" w:eastAsia="宋体"/>
                <w:sz w:val="24"/>
                <w:szCs w:val="24"/>
              </w:rPr>
              <w:t>答：在绿色低碳领域，公司积极开展环保型电气装备关键技术研究，推动输变电装备绿色升级，通过技术攻关、标准引领和服务创新，全力支持国家“双碳”目标的实现。作为电工行业首家 CNAS 认可的温室气体核查机构，公司具备组织温室气体核查和产品碳足迹核查资质。此外，公司是工信部绿色制造联盟备案公示的第三方绿色评价机构，具备开展绿色设计产品、绿色工厂、绿色工业园区、绿色供应链管理企业等绿色制造体系评价服务能力。</w:t>
            </w:r>
          </w:p>
          <w:p w14:paraId="35165898">
            <w:pPr>
              <w:ind w:firstLine="480" w:firstLineChars="200"/>
              <w:rPr>
                <w:rFonts w:ascii="宋体" w:hAnsi="宋体" w:eastAsia="宋体"/>
                <w:sz w:val="24"/>
                <w:szCs w:val="24"/>
              </w:rPr>
            </w:pPr>
            <w:r>
              <w:rPr>
                <w:rFonts w:hint="eastAsia" w:ascii="宋体" w:hAnsi="宋体" w:eastAsia="宋体"/>
                <w:sz w:val="24"/>
                <w:szCs w:val="24"/>
              </w:rPr>
              <w:t>问题8：怎么看待25年特高压检测市场的发展？</w:t>
            </w:r>
          </w:p>
          <w:p w14:paraId="401B11FD">
            <w:pPr>
              <w:ind w:firstLine="480" w:firstLineChars="200"/>
              <w:rPr>
                <w:rFonts w:hint="eastAsia" w:ascii="宋体" w:hAnsi="宋体" w:eastAsia="宋体"/>
                <w:sz w:val="24"/>
                <w:szCs w:val="24"/>
                <w:lang w:eastAsia="zh-CN"/>
              </w:rPr>
            </w:pPr>
            <w:r>
              <w:rPr>
                <w:rFonts w:hint="eastAsia" w:ascii="宋体" w:hAnsi="宋体" w:eastAsia="宋体"/>
                <w:sz w:val="24"/>
                <w:szCs w:val="24"/>
              </w:rPr>
              <w:t>答</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rPr>
              <w:t>025年，特高压检测市场将在政策扶持与大规模投资的双轮驱动下持续扩容，技术迭代加速（如柔直输电、智能运维等创新应用）与新能源大规模并网需求（风光基地外送、储能系统配套）共同驱动行业向智能化、高端化方向转型升级。同时，海外市场拓展与全球能源革命带来的结构性机遇，将进一步支撑市场保持高速增长，使其成为能源装备领域极具潜力的核心增长极。</w:t>
            </w:r>
          </w:p>
        </w:tc>
      </w:tr>
      <w:tr w14:paraId="61B5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80" w:type="dxa"/>
            <w:vAlign w:val="center"/>
          </w:tcPr>
          <w:p w14:paraId="3ACF6405">
            <w:pPr>
              <w:jc w:val="center"/>
              <w:rPr>
                <w:rFonts w:ascii="宋体" w:hAnsi="宋体" w:eastAsia="宋体"/>
                <w:b/>
                <w:bCs/>
                <w:sz w:val="24"/>
                <w:szCs w:val="24"/>
              </w:rPr>
            </w:pPr>
            <w:r>
              <w:rPr>
                <w:rFonts w:hint="eastAsia" w:ascii="宋体" w:hAnsi="宋体" w:eastAsia="宋体"/>
                <w:b/>
                <w:bCs/>
                <w:sz w:val="24"/>
                <w:szCs w:val="24"/>
              </w:rPr>
              <w:t>附件清单</w:t>
            </w:r>
          </w:p>
          <w:p w14:paraId="5A25711D">
            <w:pPr>
              <w:jc w:val="center"/>
              <w:rPr>
                <w:rFonts w:ascii="宋体" w:hAnsi="宋体" w:eastAsia="宋体"/>
                <w:b/>
                <w:bCs/>
                <w:sz w:val="24"/>
                <w:szCs w:val="24"/>
              </w:rPr>
            </w:pPr>
            <w:r>
              <w:rPr>
                <w:rFonts w:hint="eastAsia" w:ascii="宋体" w:hAnsi="宋体" w:eastAsia="宋体"/>
                <w:b/>
                <w:bCs/>
                <w:sz w:val="24"/>
                <w:szCs w:val="24"/>
              </w:rPr>
              <w:t>（如有）</w:t>
            </w:r>
          </w:p>
        </w:tc>
        <w:tc>
          <w:tcPr>
            <w:tcW w:w="6740" w:type="dxa"/>
            <w:vAlign w:val="center"/>
          </w:tcPr>
          <w:p w14:paraId="26B8CA8C">
            <w:pPr>
              <w:rPr>
                <w:rFonts w:ascii="宋体" w:hAnsi="宋体" w:eastAsia="宋体"/>
                <w:sz w:val="24"/>
                <w:szCs w:val="24"/>
              </w:rPr>
            </w:pPr>
            <w:r>
              <w:rPr>
                <w:rFonts w:hint="eastAsia" w:ascii="宋体" w:hAnsi="宋体" w:eastAsia="宋体"/>
                <w:sz w:val="24"/>
                <w:szCs w:val="24"/>
              </w:rPr>
              <w:t>无</w:t>
            </w:r>
          </w:p>
        </w:tc>
      </w:tr>
      <w:tr w14:paraId="5A03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0" w:type="dxa"/>
            <w:vAlign w:val="center"/>
          </w:tcPr>
          <w:p w14:paraId="5F6A9563">
            <w:pPr>
              <w:jc w:val="center"/>
              <w:rPr>
                <w:rFonts w:ascii="宋体" w:hAnsi="宋体" w:eastAsia="宋体"/>
                <w:b/>
                <w:bCs/>
                <w:sz w:val="24"/>
                <w:szCs w:val="24"/>
              </w:rPr>
            </w:pPr>
            <w:r>
              <w:rPr>
                <w:rFonts w:hint="eastAsia" w:ascii="宋体" w:hAnsi="宋体" w:eastAsia="宋体"/>
                <w:b/>
                <w:bCs/>
                <w:sz w:val="24"/>
                <w:szCs w:val="24"/>
              </w:rPr>
              <w:t>日期</w:t>
            </w:r>
          </w:p>
        </w:tc>
        <w:tc>
          <w:tcPr>
            <w:tcW w:w="6740" w:type="dxa"/>
            <w:vAlign w:val="center"/>
          </w:tcPr>
          <w:p w14:paraId="2F05F448">
            <w:pP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w:t>
            </w:r>
            <w:r>
              <w:rPr>
                <w:rFonts w:hint="eastAsia" w:ascii="宋体" w:hAnsi="宋体" w:eastAsia="宋体"/>
                <w:sz w:val="24"/>
                <w:szCs w:val="24"/>
              </w:rPr>
              <w:t>5年6月6日</w:t>
            </w:r>
          </w:p>
        </w:tc>
      </w:tr>
      <w:tr w14:paraId="00D3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980" w:type="dxa"/>
            <w:vAlign w:val="center"/>
          </w:tcPr>
          <w:p w14:paraId="65247C49">
            <w:pPr>
              <w:jc w:val="center"/>
              <w:rPr>
                <w:rFonts w:ascii="宋体" w:hAnsi="宋体" w:eastAsia="宋体"/>
                <w:b/>
                <w:bCs/>
                <w:sz w:val="24"/>
                <w:szCs w:val="24"/>
              </w:rPr>
            </w:pPr>
            <w:r>
              <w:rPr>
                <w:rFonts w:hint="eastAsia" w:ascii="宋体" w:hAnsi="宋体" w:eastAsia="宋体"/>
                <w:b/>
                <w:bCs/>
                <w:sz w:val="24"/>
                <w:szCs w:val="24"/>
              </w:rPr>
              <w:t>备注</w:t>
            </w:r>
          </w:p>
        </w:tc>
        <w:tc>
          <w:tcPr>
            <w:tcW w:w="6740" w:type="dxa"/>
            <w:vAlign w:val="center"/>
          </w:tcPr>
          <w:p w14:paraId="77C846A9">
            <w:pPr>
              <w:ind w:firstLine="480" w:firstLineChars="200"/>
              <w:rPr>
                <w:rFonts w:ascii="宋体" w:hAnsi="宋体" w:eastAsia="宋体"/>
                <w:sz w:val="24"/>
                <w:szCs w:val="24"/>
              </w:rPr>
            </w:pPr>
            <w:r>
              <w:rPr>
                <w:rFonts w:hint="eastAsia" w:ascii="宋体" w:hAnsi="宋体" w:eastAsia="宋体"/>
                <w:sz w:val="24"/>
                <w:szCs w:val="24"/>
              </w:rPr>
              <w:t>公司与投资者进行了充分的交流与沟通，并严格按照公司《信息披露管理制度》等规定，保证信息披露的真实、准确、完善、及时、公平，没有出现未公开重大信息披露等情况。</w:t>
            </w:r>
          </w:p>
        </w:tc>
      </w:tr>
    </w:tbl>
    <w:p w14:paraId="2C10F54A">
      <w:pPr>
        <w:rPr>
          <w:rFonts w:ascii="宋体" w:hAnsi="宋体" w:eastAsia="宋体"/>
          <w:sz w:val="28"/>
          <w:szCs w:val="28"/>
        </w:rPr>
      </w:pPr>
    </w:p>
    <w:sectPr>
      <w:pgSz w:w="11906" w:h="16838"/>
      <w:pgMar w:top="2098" w:right="1588"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mYjdmYWJlZjU3MTUxN2I5OTkwNWFkNmY4YTZkNmIifQ=="/>
  </w:docVars>
  <w:rsids>
    <w:rsidRoot w:val="00C270E3"/>
    <w:rsid w:val="000046C0"/>
    <w:rsid w:val="00040A4D"/>
    <w:rsid w:val="0005356D"/>
    <w:rsid w:val="00056BF8"/>
    <w:rsid w:val="000C3775"/>
    <w:rsid w:val="00114EC2"/>
    <w:rsid w:val="00150A5C"/>
    <w:rsid w:val="00166EFE"/>
    <w:rsid w:val="00171167"/>
    <w:rsid w:val="00177D31"/>
    <w:rsid w:val="001865C3"/>
    <w:rsid w:val="001D1473"/>
    <w:rsid w:val="00221C5F"/>
    <w:rsid w:val="002461AF"/>
    <w:rsid w:val="00283962"/>
    <w:rsid w:val="00285A86"/>
    <w:rsid w:val="002962AC"/>
    <w:rsid w:val="002C6800"/>
    <w:rsid w:val="003A4E0F"/>
    <w:rsid w:val="003A6336"/>
    <w:rsid w:val="003C0917"/>
    <w:rsid w:val="003D2474"/>
    <w:rsid w:val="003E2E81"/>
    <w:rsid w:val="0040719C"/>
    <w:rsid w:val="00416E60"/>
    <w:rsid w:val="004538E3"/>
    <w:rsid w:val="00472383"/>
    <w:rsid w:val="0048160F"/>
    <w:rsid w:val="004A5EAD"/>
    <w:rsid w:val="004E36FE"/>
    <w:rsid w:val="004E669E"/>
    <w:rsid w:val="004F7731"/>
    <w:rsid w:val="0058556F"/>
    <w:rsid w:val="0059368B"/>
    <w:rsid w:val="005B3284"/>
    <w:rsid w:val="005B615A"/>
    <w:rsid w:val="005D62BE"/>
    <w:rsid w:val="00610C66"/>
    <w:rsid w:val="00610EB4"/>
    <w:rsid w:val="00643CD4"/>
    <w:rsid w:val="0065798B"/>
    <w:rsid w:val="0066380B"/>
    <w:rsid w:val="00692FBB"/>
    <w:rsid w:val="006C7D12"/>
    <w:rsid w:val="006E6D82"/>
    <w:rsid w:val="00716F64"/>
    <w:rsid w:val="00732656"/>
    <w:rsid w:val="0073427C"/>
    <w:rsid w:val="00753105"/>
    <w:rsid w:val="007652EE"/>
    <w:rsid w:val="007A3408"/>
    <w:rsid w:val="007A74E8"/>
    <w:rsid w:val="007B0537"/>
    <w:rsid w:val="007B0FBC"/>
    <w:rsid w:val="007B236F"/>
    <w:rsid w:val="007C110E"/>
    <w:rsid w:val="007E730F"/>
    <w:rsid w:val="007F0CCD"/>
    <w:rsid w:val="00800E21"/>
    <w:rsid w:val="008320C7"/>
    <w:rsid w:val="00835B13"/>
    <w:rsid w:val="008400C0"/>
    <w:rsid w:val="0088426E"/>
    <w:rsid w:val="008C6317"/>
    <w:rsid w:val="008D4151"/>
    <w:rsid w:val="008F1B99"/>
    <w:rsid w:val="008F2465"/>
    <w:rsid w:val="008F763B"/>
    <w:rsid w:val="009304C5"/>
    <w:rsid w:val="00932ED3"/>
    <w:rsid w:val="00940B96"/>
    <w:rsid w:val="0096674D"/>
    <w:rsid w:val="009E7502"/>
    <w:rsid w:val="00A16331"/>
    <w:rsid w:val="00A32937"/>
    <w:rsid w:val="00A419D9"/>
    <w:rsid w:val="00A6158B"/>
    <w:rsid w:val="00AB12FF"/>
    <w:rsid w:val="00B06BDA"/>
    <w:rsid w:val="00B209CF"/>
    <w:rsid w:val="00B2783C"/>
    <w:rsid w:val="00BB60ED"/>
    <w:rsid w:val="00BC1298"/>
    <w:rsid w:val="00BC1380"/>
    <w:rsid w:val="00BE5149"/>
    <w:rsid w:val="00C270E3"/>
    <w:rsid w:val="00C31A71"/>
    <w:rsid w:val="00C37BBA"/>
    <w:rsid w:val="00C45A18"/>
    <w:rsid w:val="00C90ECD"/>
    <w:rsid w:val="00CC41C9"/>
    <w:rsid w:val="00CE3C96"/>
    <w:rsid w:val="00D30BFA"/>
    <w:rsid w:val="00D401B1"/>
    <w:rsid w:val="00D62015"/>
    <w:rsid w:val="00DC7531"/>
    <w:rsid w:val="00DF7AF4"/>
    <w:rsid w:val="00E02AC9"/>
    <w:rsid w:val="00E647F3"/>
    <w:rsid w:val="00E83AEA"/>
    <w:rsid w:val="00E91488"/>
    <w:rsid w:val="00E94595"/>
    <w:rsid w:val="00EB42BC"/>
    <w:rsid w:val="00EC39B4"/>
    <w:rsid w:val="00F023D3"/>
    <w:rsid w:val="00F110D5"/>
    <w:rsid w:val="00F231C3"/>
    <w:rsid w:val="00F66890"/>
    <w:rsid w:val="00F875A3"/>
    <w:rsid w:val="00FC186B"/>
    <w:rsid w:val="00FC5F92"/>
    <w:rsid w:val="00FD65CA"/>
    <w:rsid w:val="00FE542C"/>
    <w:rsid w:val="020E6E6E"/>
    <w:rsid w:val="03107D15"/>
    <w:rsid w:val="094979CB"/>
    <w:rsid w:val="098C1D28"/>
    <w:rsid w:val="0A512972"/>
    <w:rsid w:val="0A645335"/>
    <w:rsid w:val="0CBC3962"/>
    <w:rsid w:val="0CDA6DE4"/>
    <w:rsid w:val="0EA10534"/>
    <w:rsid w:val="0FDE952E"/>
    <w:rsid w:val="101B23FC"/>
    <w:rsid w:val="11F631BA"/>
    <w:rsid w:val="12B9646F"/>
    <w:rsid w:val="17F237A3"/>
    <w:rsid w:val="17F73F71"/>
    <w:rsid w:val="17FEBCD0"/>
    <w:rsid w:val="1B4B7A22"/>
    <w:rsid w:val="1BE3F572"/>
    <w:rsid w:val="1C990377"/>
    <w:rsid w:val="1EBD7328"/>
    <w:rsid w:val="22420D90"/>
    <w:rsid w:val="226C48AA"/>
    <w:rsid w:val="233AD8EE"/>
    <w:rsid w:val="23DB2F62"/>
    <w:rsid w:val="24B14E63"/>
    <w:rsid w:val="26C7C0BA"/>
    <w:rsid w:val="26EE3D85"/>
    <w:rsid w:val="2FEF313F"/>
    <w:rsid w:val="30EA3C40"/>
    <w:rsid w:val="33F37E33"/>
    <w:rsid w:val="358FF06B"/>
    <w:rsid w:val="373C4996"/>
    <w:rsid w:val="374B4FC3"/>
    <w:rsid w:val="37F7FDCB"/>
    <w:rsid w:val="3817149D"/>
    <w:rsid w:val="392F635C"/>
    <w:rsid w:val="39944DC2"/>
    <w:rsid w:val="3BDA652C"/>
    <w:rsid w:val="3C44208D"/>
    <w:rsid w:val="3CF659FE"/>
    <w:rsid w:val="3DDB9246"/>
    <w:rsid w:val="3EFE8809"/>
    <w:rsid w:val="3FCE11F8"/>
    <w:rsid w:val="41A437BF"/>
    <w:rsid w:val="4264182A"/>
    <w:rsid w:val="429A1953"/>
    <w:rsid w:val="43973FC6"/>
    <w:rsid w:val="43E91A02"/>
    <w:rsid w:val="441A1CBF"/>
    <w:rsid w:val="44C85ABB"/>
    <w:rsid w:val="47F32DED"/>
    <w:rsid w:val="483B78DD"/>
    <w:rsid w:val="4A721FC1"/>
    <w:rsid w:val="4DA42AB6"/>
    <w:rsid w:val="51EA1DA4"/>
    <w:rsid w:val="52EA42EB"/>
    <w:rsid w:val="54C7533A"/>
    <w:rsid w:val="56FBA0E2"/>
    <w:rsid w:val="594F1212"/>
    <w:rsid w:val="59504660"/>
    <w:rsid w:val="5BED7D49"/>
    <w:rsid w:val="5E291201"/>
    <w:rsid w:val="5FFC07EC"/>
    <w:rsid w:val="633DD9E9"/>
    <w:rsid w:val="65CA3C0E"/>
    <w:rsid w:val="65F8742B"/>
    <w:rsid w:val="67523C88"/>
    <w:rsid w:val="67FE63C0"/>
    <w:rsid w:val="68702FE3"/>
    <w:rsid w:val="6A8FE567"/>
    <w:rsid w:val="6B9B71D6"/>
    <w:rsid w:val="6BDB090C"/>
    <w:rsid w:val="6BFF233F"/>
    <w:rsid w:val="6C32D9D9"/>
    <w:rsid w:val="6CC85C91"/>
    <w:rsid w:val="6D3113B3"/>
    <w:rsid w:val="6D511FF0"/>
    <w:rsid w:val="6D5B9298"/>
    <w:rsid w:val="6DC6981E"/>
    <w:rsid w:val="6ED461E0"/>
    <w:rsid w:val="6F97E46F"/>
    <w:rsid w:val="6F9FE491"/>
    <w:rsid w:val="6FBF3981"/>
    <w:rsid w:val="6FD9C051"/>
    <w:rsid w:val="6FDB3796"/>
    <w:rsid w:val="6FDBDDB7"/>
    <w:rsid w:val="6FDF191F"/>
    <w:rsid w:val="70313C65"/>
    <w:rsid w:val="73E7449E"/>
    <w:rsid w:val="74DD3DBD"/>
    <w:rsid w:val="77773529"/>
    <w:rsid w:val="77FF2E67"/>
    <w:rsid w:val="78A13CF9"/>
    <w:rsid w:val="79D933E2"/>
    <w:rsid w:val="7A6F64D1"/>
    <w:rsid w:val="7AFB0B2B"/>
    <w:rsid w:val="7B5E0381"/>
    <w:rsid w:val="7CBD02B6"/>
    <w:rsid w:val="7D3C1C61"/>
    <w:rsid w:val="7DBE5ECE"/>
    <w:rsid w:val="7DC75389"/>
    <w:rsid w:val="7DFDED77"/>
    <w:rsid w:val="7DFE4484"/>
    <w:rsid w:val="7DFFADC4"/>
    <w:rsid w:val="7E2E4C25"/>
    <w:rsid w:val="7E9DDF65"/>
    <w:rsid w:val="7EFF275F"/>
    <w:rsid w:val="7F374830"/>
    <w:rsid w:val="7F4BF67C"/>
    <w:rsid w:val="7F5EBB85"/>
    <w:rsid w:val="7F5F2AE5"/>
    <w:rsid w:val="7FA8138B"/>
    <w:rsid w:val="7FDD647D"/>
    <w:rsid w:val="7FE70140"/>
    <w:rsid w:val="7FFB1B21"/>
    <w:rsid w:val="7FFF9D67"/>
    <w:rsid w:val="8BAB36CC"/>
    <w:rsid w:val="94579E40"/>
    <w:rsid w:val="9B8F4C1F"/>
    <w:rsid w:val="A3FC99E9"/>
    <w:rsid w:val="AB592410"/>
    <w:rsid w:val="AEDB935C"/>
    <w:rsid w:val="B3C32668"/>
    <w:rsid w:val="B7FD4844"/>
    <w:rsid w:val="B9362737"/>
    <w:rsid w:val="BBF3EFB6"/>
    <w:rsid w:val="BFEF23B2"/>
    <w:rsid w:val="BFFEA71A"/>
    <w:rsid w:val="BFFF2DF2"/>
    <w:rsid w:val="CEEF9EA1"/>
    <w:rsid w:val="CF1F5B7A"/>
    <w:rsid w:val="CFF792DC"/>
    <w:rsid w:val="D1D430E4"/>
    <w:rsid w:val="D23455C0"/>
    <w:rsid w:val="D7D7BD5E"/>
    <w:rsid w:val="D7DD9068"/>
    <w:rsid w:val="DAEF35C7"/>
    <w:rsid w:val="DDB4591E"/>
    <w:rsid w:val="DEBFEBFB"/>
    <w:rsid w:val="DFDD9029"/>
    <w:rsid w:val="E7DFEECC"/>
    <w:rsid w:val="EDF6458E"/>
    <w:rsid w:val="EE2F872A"/>
    <w:rsid w:val="EE9F3019"/>
    <w:rsid w:val="EEF7A717"/>
    <w:rsid w:val="EFED7E8B"/>
    <w:rsid w:val="F1FD197F"/>
    <w:rsid w:val="F53FB75E"/>
    <w:rsid w:val="F5EF041C"/>
    <w:rsid w:val="F77E5AFD"/>
    <w:rsid w:val="F7BC9332"/>
    <w:rsid w:val="F7D7312A"/>
    <w:rsid w:val="F7ED148F"/>
    <w:rsid w:val="F7FA8177"/>
    <w:rsid w:val="F7FDAD07"/>
    <w:rsid w:val="F9265E2D"/>
    <w:rsid w:val="FBECE6F8"/>
    <w:rsid w:val="FBF56D41"/>
    <w:rsid w:val="FC7D364C"/>
    <w:rsid w:val="FCFDA416"/>
    <w:rsid w:val="FDAAD324"/>
    <w:rsid w:val="FDAB3B14"/>
    <w:rsid w:val="FDBB1667"/>
    <w:rsid w:val="FDCD8FE3"/>
    <w:rsid w:val="FDEDAE15"/>
    <w:rsid w:val="FDEF5C9D"/>
    <w:rsid w:val="FDF9CB48"/>
    <w:rsid w:val="FE593BE3"/>
    <w:rsid w:val="FEDF9A01"/>
    <w:rsid w:val="FF5A6F38"/>
    <w:rsid w:val="FFB460B8"/>
    <w:rsid w:val="FFF6480B"/>
    <w:rsid w:val="FFFF0054"/>
    <w:rsid w:val="FFFFC505"/>
    <w:rsid w:val="FFFFF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7"/>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table" w:customStyle="1" w:styleId="13">
    <w:name w:val="网格型13"/>
    <w:basedOn w:val="7"/>
    <w:qFormat/>
    <w:uiPriority w:val="39"/>
    <w:pPr>
      <w:widowControl w:val="0"/>
      <w:adjustRightInd w:val="0"/>
      <w:snapToGrid w:val="0"/>
      <w:contextualSpacing/>
      <w:jc w:val="center"/>
    </w:pPr>
    <w:rPr>
      <w:rFonts w:eastAsia="仿宋"/>
    </w:rPr>
    <w:tblPr>
      <w:jc w:val="center"/>
      <w:tblBorders>
        <w:top w:val="double" w:color="auto" w:sz="2" w:space="0"/>
        <w:bottom w:val="double" w:color="auto" w:sz="2" w:space="0"/>
        <w:insideH w:val="single" w:color="auto" w:sz="2" w:space="0"/>
        <w:insideV w:val="single" w:color="auto" w:sz="2" w:space="0"/>
      </w:tblBorders>
    </w:tblPr>
    <w:trPr>
      <w:jc w:val="center"/>
    </w:trPr>
    <w:tcPr>
      <w:vAlign w:val="center"/>
    </w:tcPr>
  </w:style>
  <w:style w:type="character" w:customStyle="1" w:styleId="14">
    <w:name w:val="批注文字 字符"/>
    <w:basedOn w:val="9"/>
    <w:link w:val="2"/>
    <w:qFormat/>
    <w:uiPriority w:val="99"/>
    <w:rPr>
      <w:rFonts w:asciiTheme="minorHAnsi" w:hAnsiTheme="minorHAnsi" w:eastAsiaTheme="minorEastAsia" w:cstheme="minorBidi"/>
      <w:kern w:val="2"/>
      <w:sz w:val="21"/>
      <w:szCs w:val="22"/>
    </w:rPr>
  </w:style>
  <w:style w:type="character" w:customStyle="1" w:styleId="15">
    <w:name w:val="批注主题 字符"/>
    <w:basedOn w:val="14"/>
    <w:link w:val="6"/>
    <w:semiHidden/>
    <w:qFormat/>
    <w:uiPriority w:val="99"/>
    <w:rPr>
      <w:rFonts w:asciiTheme="minorHAnsi" w:hAnsiTheme="minorHAnsi" w:eastAsiaTheme="minorEastAsia" w:cstheme="minorBidi"/>
      <w:b/>
      <w:bCs/>
      <w:kern w:val="2"/>
      <w:sz w:val="21"/>
      <w:szCs w:val="22"/>
    </w:rPr>
  </w:style>
  <w:style w:type="paragraph" w:customStyle="1" w:styleId="16">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框文本 字符"/>
    <w:basedOn w:val="9"/>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1722</Words>
  <Characters>1778</Characters>
  <Lines>12</Lines>
  <Paragraphs>3</Paragraphs>
  <TotalTime>121</TotalTime>
  <ScaleCrop>false</ScaleCrop>
  <LinksUpToDate>false</LinksUpToDate>
  <CharactersWithSpaces>1887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2025-04-26T08:49:00Z</dcterms:created>
  <dc:creator>Li Fan</dc:creator>
  <cp:lastModifiedBy>涵burger</cp:lastModifiedBy>
  <dcterms:modified xsi:type="dcterms:W3CDTF">2025-06-06T06:40:40Z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64410E50DC6E4D529EEBFBF6439F42F5_13</vt:lpwstr>
  </property>
  <property fmtid="{D5CDD505-2E9C-101B-9397-08002B2CF9AE}" pid="4" name="KSOTemplateDocerSaveRecord">
    <vt:lpwstr>eyJoZGlkIjoiZjdiMDUxMzAzY2NlNDM5MzAyODhhYWVlZjNhMTE0MDEiLCJ1c2VySWQiOiIxNTMxOTcwNzI1In0=</vt:lpwstr>
  </property>
</Properties>
</file>