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A1837">
      <w:pPr>
        <w:ind w:firstLine="120" w:firstLineChars="50"/>
        <w:rPr>
          <w:b/>
          <w:bCs/>
          <w:iCs/>
          <w:color w:val="000000"/>
        </w:rPr>
      </w:pPr>
      <w:r>
        <w:rPr>
          <w:bCs/>
          <w:iCs/>
          <w:color w:val="000000"/>
        </w:rPr>
        <w:t>证券代码：6</w:t>
      </w:r>
      <w:r>
        <w:rPr>
          <w:rFonts w:hint="eastAsia"/>
          <w:bCs/>
          <w:iCs/>
          <w:color w:val="000000"/>
        </w:rPr>
        <w:t>05388</w:t>
      </w:r>
      <w:r>
        <w:rPr>
          <w:bCs/>
          <w:iCs/>
          <w:color w:val="000000"/>
        </w:rPr>
        <w:t xml:space="preserve">                               证券简称：</w:t>
      </w:r>
      <w:r>
        <w:rPr>
          <w:rFonts w:hint="eastAsia"/>
          <w:bCs/>
          <w:iCs/>
          <w:color w:val="000000"/>
        </w:rPr>
        <w:t>均瑶健康</w:t>
      </w:r>
    </w:p>
    <w:p w14:paraId="482FEC5E">
      <w:pPr>
        <w:spacing w:before="156" w:beforeLines="50" w:after="156" w:afterLines="50"/>
        <w:ind w:firstLine="0" w:firstLineChars="0"/>
        <w:jc w:val="center"/>
        <w:rPr>
          <w:b/>
          <w:bCs/>
          <w:iCs/>
          <w:color w:val="000000"/>
          <w:sz w:val="28"/>
          <w:szCs w:val="28"/>
        </w:rPr>
      </w:pPr>
      <w:r>
        <w:rPr>
          <w:rFonts w:hint="eastAsia"/>
          <w:b/>
          <w:bCs/>
          <w:iCs/>
          <w:color w:val="000000"/>
          <w:sz w:val="28"/>
          <w:szCs w:val="28"/>
        </w:rPr>
        <w:t>湖北均瑶大健康饮品</w:t>
      </w:r>
      <w:r>
        <w:rPr>
          <w:b/>
          <w:bCs/>
          <w:iCs/>
          <w:color w:val="000000"/>
          <w:sz w:val="28"/>
          <w:szCs w:val="28"/>
        </w:rPr>
        <w:t>股份有限公司投资者关系活动记录表</w:t>
      </w:r>
    </w:p>
    <w:p w14:paraId="718BABAF">
      <w:pPr>
        <w:spacing w:line="400" w:lineRule="exact"/>
        <w:ind w:firstLine="480"/>
        <w:rPr>
          <w:rFonts w:hint="eastAsia" w:eastAsia="宋体"/>
          <w:bCs/>
          <w:iCs/>
          <w:color w:val="000000"/>
          <w:lang w:val="en-US" w:eastAsia="zh-CN"/>
        </w:rPr>
      </w:pPr>
      <w:r>
        <w:rPr>
          <w:bCs/>
          <w:iCs/>
          <w:color w:val="000000"/>
        </w:rPr>
        <w:t xml:space="preserve">                                                 编号：</w:t>
      </w:r>
      <w:r>
        <w:rPr>
          <w:bCs/>
          <w:iCs/>
          <w:color w:val="000000"/>
          <w:highlight w:val="none"/>
        </w:rPr>
        <w:t>202</w:t>
      </w:r>
      <w:r>
        <w:rPr>
          <w:rFonts w:hint="eastAsia"/>
          <w:bCs/>
          <w:iCs/>
          <w:color w:val="000000"/>
          <w:highlight w:val="none"/>
          <w:lang w:val="en-US" w:eastAsia="zh-CN"/>
        </w:rPr>
        <w:t>5</w:t>
      </w:r>
      <w:r>
        <w:rPr>
          <w:bCs/>
          <w:iCs/>
          <w:color w:val="000000"/>
          <w:highlight w:val="none"/>
        </w:rPr>
        <w:t>-00</w:t>
      </w:r>
      <w:r>
        <w:rPr>
          <w:rFonts w:hint="eastAsia"/>
          <w:bCs/>
          <w:iCs/>
          <w:color w:val="000000"/>
          <w:highlight w:val="none"/>
          <w:lang w:val="en-US" w:eastAsia="zh-CN"/>
        </w:rPr>
        <w:t>4</w:t>
      </w:r>
    </w:p>
    <w:tbl>
      <w:tblPr>
        <w:tblStyle w:val="11"/>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859"/>
      </w:tblGrid>
      <w:tr w14:paraId="32AA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16465B1A">
            <w:pPr>
              <w:ind w:firstLine="0" w:firstLineChars="0"/>
              <w:rPr>
                <w:bCs/>
                <w:iCs/>
                <w:color w:val="000000"/>
                <w:highlight w:val="none"/>
              </w:rPr>
            </w:pPr>
            <w:r>
              <w:rPr>
                <w:bCs/>
                <w:iCs/>
                <w:color w:val="000000"/>
                <w:highlight w:val="none"/>
              </w:rPr>
              <w:t>投资者关系活动类别</w:t>
            </w:r>
          </w:p>
          <w:p w14:paraId="2421B81C">
            <w:pPr>
              <w:ind w:firstLine="0" w:firstLineChars="0"/>
              <w:rPr>
                <w:bCs/>
                <w:iCs/>
                <w:color w:val="000000"/>
                <w:highlight w:val="none"/>
              </w:rPr>
            </w:pPr>
          </w:p>
        </w:tc>
        <w:tc>
          <w:tcPr>
            <w:tcW w:w="6859" w:type="dxa"/>
            <w:tcBorders>
              <w:top w:val="single" w:color="auto" w:sz="4" w:space="0"/>
              <w:left w:val="single" w:color="auto" w:sz="4" w:space="0"/>
              <w:bottom w:val="single" w:color="auto" w:sz="4" w:space="0"/>
              <w:right w:val="single" w:color="auto" w:sz="4" w:space="0"/>
            </w:tcBorders>
          </w:tcPr>
          <w:p w14:paraId="3CA0BE79">
            <w:pPr>
              <w:spacing w:line="480" w:lineRule="atLeast"/>
              <w:ind w:firstLine="0" w:firstLineChars="0"/>
              <w:rPr>
                <w:bCs/>
                <w:iCs/>
                <w:color w:val="000000"/>
                <w:highlight w:val="none"/>
              </w:rPr>
            </w:pPr>
            <w:r>
              <w:rPr>
                <w:bCs/>
                <w:iCs/>
                <w:color w:val="000000"/>
                <w:highlight w:val="none"/>
              </w:rPr>
              <w:sym w:font="Wingdings 2" w:char="0052"/>
            </w:r>
            <w:r>
              <w:rPr>
                <w:bCs/>
                <w:iCs/>
                <w:color w:val="000000"/>
                <w:highlight w:val="none"/>
              </w:rPr>
              <w:t xml:space="preserve"> </w:t>
            </w:r>
            <w:r>
              <w:rPr>
                <w:highlight w:val="none"/>
              </w:rPr>
              <w:t xml:space="preserve">特定对象调研        </w:t>
            </w:r>
            <w:r>
              <w:rPr>
                <w:bCs/>
                <w:iCs/>
                <w:color w:val="000000"/>
                <w:highlight w:val="none"/>
              </w:rPr>
              <w:sym w:font="Wingdings 2" w:char="00A3"/>
            </w:r>
            <w:r>
              <w:rPr>
                <w:bCs/>
                <w:iCs/>
                <w:color w:val="000000"/>
                <w:highlight w:val="none"/>
              </w:rPr>
              <w:t xml:space="preserve"> </w:t>
            </w:r>
            <w:r>
              <w:rPr>
                <w:highlight w:val="none"/>
              </w:rPr>
              <w:t>分析师会议</w:t>
            </w:r>
          </w:p>
          <w:p w14:paraId="7DB7F98D">
            <w:pPr>
              <w:spacing w:line="480" w:lineRule="atLeast"/>
              <w:ind w:firstLine="0" w:firstLineChars="0"/>
              <w:rPr>
                <w:bCs/>
                <w:iCs/>
                <w:color w:val="000000"/>
                <w:highlight w:val="none"/>
              </w:rPr>
            </w:pPr>
            <w:r>
              <w:rPr>
                <w:bCs/>
                <w:iCs/>
                <w:color w:val="000000"/>
                <w:highlight w:val="none"/>
              </w:rPr>
              <w:sym w:font="Wingdings 2" w:char="00A3"/>
            </w:r>
            <w:r>
              <w:rPr>
                <w:bCs/>
                <w:iCs/>
                <w:color w:val="000000"/>
                <w:highlight w:val="none"/>
              </w:rPr>
              <w:t xml:space="preserve"> </w:t>
            </w:r>
            <w:r>
              <w:rPr>
                <w:highlight w:val="none"/>
              </w:rPr>
              <w:t xml:space="preserve">媒体采访            </w:t>
            </w:r>
            <w:r>
              <w:rPr>
                <w:bCs/>
                <w:iCs/>
                <w:color w:val="000000"/>
                <w:highlight w:val="none"/>
              </w:rPr>
              <w:sym w:font="Wingdings 2" w:char="00A3"/>
            </w:r>
            <w:r>
              <w:rPr>
                <w:highlight w:val="none"/>
              </w:rPr>
              <w:t>业绩说明会</w:t>
            </w:r>
          </w:p>
          <w:p w14:paraId="15ED8F03">
            <w:pPr>
              <w:spacing w:line="480" w:lineRule="atLeast"/>
              <w:ind w:firstLine="0" w:firstLineChars="0"/>
              <w:rPr>
                <w:bCs/>
                <w:iCs/>
                <w:color w:val="000000"/>
                <w:highlight w:val="none"/>
              </w:rPr>
            </w:pPr>
            <w:r>
              <w:rPr>
                <w:bCs/>
                <w:iCs/>
                <w:color w:val="000000"/>
                <w:highlight w:val="none"/>
              </w:rPr>
              <w:sym w:font="Wingdings 2" w:char="00A3"/>
            </w:r>
            <w:r>
              <w:rPr>
                <w:bCs/>
                <w:iCs/>
                <w:color w:val="000000"/>
                <w:highlight w:val="none"/>
              </w:rPr>
              <w:t xml:space="preserve"> </w:t>
            </w:r>
            <w:r>
              <w:rPr>
                <w:highlight w:val="none"/>
              </w:rPr>
              <w:t xml:space="preserve">新闻发布会          </w:t>
            </w:r>
            <w:r>
              <w:rPr>
                <w:bCs/>
                <w:iCs/>
                <w:color w:val="000000"/>
                <w:highlight w:val="none"/>
              </w:rPr>
              <w:sym w:font="Wingdings 2" w:char="00A3"/>
            </w:r>
            <w:r>
              <w:rPr>
                <w:bCs/>
                <w:iCs/>
                <w:color w:val="000000"/>
                <w:highlight w:val="none"/>
              </w:rPr>
              <w:t xml:space="preserve"> </w:t>
            </w:r>
            <w:r>
              <w:rPr>
                <w:highlight w:val="none"/>
              </w:rPr>
              <w:t>路演活动</w:t>
            </w:r>
          </w:p>
          <w:p w14:paraId="55941212">
            <w:pPr>
              <w:tabs>
                <w:tab w:val="left" w:pos="3045"/>
                <w:tab w:val="center" w:pos="3199"/>
              </w:tabs>
              <w:spacing w:line="480" w:lineRule="atLeast"/>
              <w:ind w:firstLine="0" w:firstLineChars="0"/>
              <w:rPr>
                <w:bCs/>
                <w:iCs/>
                <w:color w:val="000000"/>
                <w:highlight w:val="none"/>
              </w:rPr>
            </w:pPr>
            <w:r>
              <w:rPr>
                <w:bCs/>
                <w:iCs/>
                <w:color w:val="000000"/>
                <w:highlight w:val="none"/>
              </w:rPr>
              <w:sym w:font="Wingdings 2" w:char="00A3"/>
            </w:r>
            <w:r>
              <w:rPr>
                <w:bCs/>
                <w:iCs/>
                <w:color w:val="000000"/>
                <w:highlight w:val="none"/>
              </w:rPr>
              <w:t xml:space="preserve"> </w:t>
            </w:r>
            <w:r>
              <w:rPr>
                <w:highlight w:val="none"/>
              </w:rPr>
              <w:t>现场参观</w:t>
            </w:r>
          </w:p>
          <w:p w14:paraId="2C862E48">
            <w:pPr>
              <w:tabs>
                <w:tab w:val="center" w:pos="3199"/>
              </w:tabs>
              <w:spacing w:line="480" w:lineRule="atLeast"/>
              <w:ind w:firstLine="0" w:firstLineChars="0"/>
              <w:rPr>
                <w:bCs/>
                <w:iCs/>
                <w:color w:val="000000"/>
                <w:highlight w:val="none"/>
              </w:rPr>
            </w:pPr>
            <w:r>
              <w:rPr>
                <w:bCs/>
                <w:iCs/>
                <w:color w:val="000000"/>
                <w:highlight w:val="none"/>
              </w:rPr>
              <w:sym w:font="Wingdings 2" w:char="00A3"/>
            </w:r>
            <w:r>
              <w:rPr>
                <w:bCs/>
                <w:iCs/>
                <w:color w:val="000000"/>
                <w:highlight w:val="none"/>
              </w:rPr>
              <w:t xml:space="preserve"> </w:t>
            </w:r>
            <w:r>
              <w:rPr>
                <w:highlight w:val="none"/>
              </w:rPr>
              <w:t>其他（</w:t>
            </w:r>
            <w:r>
              <w:rPr>
                <w:rFonts w:hint="eastAsia" w:ascii="宋体" w:hAnsi="宋体"/>
                <w:highlight w:val="none"/>
                <w:u w:val="single"/>
              </w:rPr>
              <w:t>请文字说明其他活动内容</w:t>
            </w:r>
            <w:r>
              <w:rPr>
                <w:highlight w:val="none"/>
              </w:rPr>
              <w:t>）</w:t>
            </w:r>
          </w:p>
        </w:tc>
      </w:tr>
      <w:tr w14:paraId="43D9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4ABEAF28">
            <w:pPr>
              <w:ind w:firstLine="0" w:firstLineChars="0"/>
              <w:rPr>
                <w:bCs/>
                <w:iCs/>
                <w:color w:val="000000"/>
                <w:highlight w:val="none"/>
              </w:rPr>
            </w:pPr>
            <w:r>
              <w:rPr>
                <w:rFonts w:hint="eastAsia"/>
                <w:bCs/>
                <w:iCs/>
                <w:color w:val="000000"/>
                <w:highlight w:val="none"/>
              </w:rPr>
              <w:t>参与单位名称及人员姓名</w:t>
            </w:r>
          </w:p>
        </w:tc>
        <w:tc>
          <w:tcPr>
            <w:tcW w:w="6859" w:type="dxa"/>
            <w:tcBorders>
              <w:top w:val="single" w:color="auto" w:sz="4" w:space="0"/>
              <w:left w:val="single" w:color="auto" w:sz="4" w:space="0"/>
              <w:bottom w:val="single" w:color="auto" w:sz="4" w:space="0"/>
              <w:right w:val="single" w:color="auto" w:sz="4" w:space="0"/>
            </w:tcBorders>
            <w:vAlign w:val="center"/>
          </w:tcPr>
          <w:p w14:paraId="2ADB1D0B">
            <w:pPr>
              <w:ind w:left="0" w:leftChars="0" w:firstLine="0" w:firstLineChars="0"/>
              <w:rPr>
                <w:rFonts w:hint="default" w:eastAsia="宋体"/>
                <w:bCs/>
                <w:iCs/>
                <w:color w:val="000000"/>
                <w:highlight w:val="none"/>
                <w:lang w:val="en-US" w:eastAsia="zh-CN"/>
              </w:rPr>
            </w:pPr>
            <w:r>
              <w:rPr>
                <w:rFonts w:hint="eastAsia"/>
                <w:bCs/>
                <w:iCs/>
                <w:color w:val="000000"/>
                <w:highlight w:val="none"/>
                <w:lang w:val="en-US" w:eastAsia="zh-CN"/>
              </w:rPr>
              <w:t>财通证券、国盛证券、方正证券、开源证券、华鑫证券等</w:t>
            </w:r>
          </w:p>
        </w:tc>
      </w:tr>
      <w:tr w14:paraId="23E0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1C4947F6">
            <w:pPr>
              <w:ind w:firstLine="0" w:firstLineChars="0"/>
              <w:rPr>
                <w:bCs/>
                <w:iCs/>
                <w:color w:val="000000"/>
                <w:highlight w:val="none"/>
              </w:rPr>
            </w:pPr>
            <w:r>
              <w:rPr>
                <w:bCs/>
                <w:iCs/>
                <w:color w:val="000000"/>
                <w:highlight w:val="none"/>
              </w:rPr>
              <w:t>时间</w:t>
            </w:r>
          </w:p>
        </w:tc>
        <w:tc>
          <w:tcPr>
            <w:tcW w:w="6859" w:type="dxa"/>
            <w:tcBorders>
              <w:top w:val="single" w:color="auto" w:sz="4" w:space="0"/>
              <w:left w:val="single" w:color="auto" w:sz="4" w:space="0"/>
              <w:bottom w:val="single" w:color="auto" w:sz="4" w:space="0"/>
              <w:right w:val="single" w:color="auto" w:sz="4" w:space="0"/>
            </w:tcBorders>
            <w:vAlign w:val="center"/>
          </w:tcPr>
          <w:p w14:paraId="425A78FD">
            <w:pPr>
              <w:spacing w:line="480" w:lineRule="atLeast"/>
              <w:ind w:firstLine="0" w:firstLineChars="0"/>
              <w:rPr>
                <w:rFonts w:hint="default"/>
                <w:bCs/>
                <w:iCs/>
                <w:color w:val="000000"/>
                <w:highlight w:val="none"/>
                <w:lang w:val="en-US"/>
              </w:rPr>
            </w:pPr>
            <w:r>
              <w:rPr>
                <w:bCs/>
                <w:iCs/>
                <w:color w:val="000000"/>
                <w:highlight w:val="none"/>
              </w:rPr>
              <w:t>202</w:t>
            </w:r>
            <w:r>
              <w:rPr>
                <w:rFonts w:hint="eastAsia"/>
                <w:bCs/>
                <w:iCs/>
                <w:color w:val="000000"/>
                <w:highlight w:val="none"/>
              </w:rPr>
              <w:t>5</w:t>
            </w:r>
            <w:r>
              <w:rPr>
                <w:bCs/>
                <w:iCs/>
                <w:color w:val="000000"/>
                <w:highlight w:val="none"/>
              </w:rPr>
              <w:t>年</w:t>
            </w:r>
            <w:r>
              <w:rPr>
                <w:rFonts w:hint="eastAsia"/>
                <w:bCs/>
                <w:iCs/>
                <w:color w:val="000000"/>
                <w:highlight w:val="none"/>
                <w:lang w:val="en-US" w:eastAsia="zh-CN"/>
              </w:rPr>
              <w:t>5月</w:t>
            </w:r>
          </w:p>
        </w:tc>
      </w:tr>
      <w:tr w14:paraId="6EAC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73BC08EF">
            <w:pPr>
              <w:ind w:firstLine="0" w:firstLineChars="0"/>
              <w:rPr>
                <w:bCs/>
                <w:iCs/>
                <w:color w:val="000000"/>
                <w:highlight w:val="none"/>
              </w:rPr>
            </w:pPr>
            <w:r>
              <w:rPr>
                <w:bCs/>
                <w:iCs/>
                <w:color w:val="000000"/>
                <w:highlight w:val="none"/>
              </w:rPr>
              <w:t>地点</w:t>
            </w:r>
          </w:p>
        </w:tc>
        <w:tc>
          <w:tcPr>
            <w:tcW w:w="6859" w:type="dxa"/>
            <w:tcBorders>
              <w:top w:val="single" w:color="auto" w:sz="4" w:space="0"/>
              <w:left w:val="single" w:color="auto" w:sz="4" w:space="0"/>
              <w:bottom w:val="single" w:color="auto" w:sz="4" w:space="0"/>
              <w:right w:val="single" w:color="auto" w:sz="4" w:space="0"/>
            </w:tcBorders>
            <w:vAlign w:val="center"/>
          </w:tcPr>
          <w:p w14:paraId="607474A7">
            <w:pPr>
              <w:spacing w:line="480" w:lineRule="atLeast"/>
              <w:ind w:firstLine="0" w:firstLineChars="0"/>
              <w:rPr>
                <w:rFonts w:hint="default" w:eastAsia="宋体"/>
                <w:bCs/>
                <w:iCs/>
                <w:color w:val="000000"/>
                <w:highlight w:val="none"/>
                <w:lang w:val="en-US" w:eastAsia="zh-CN"/>
              </w:rPr>
            </w:pPr>
            <w:r>
              <w:rPr>
                <w:rFonts w:hint="eastAsia"/>
                <w:bCs/>
                <w:iCs/>
                <w:color w:val="000000"/>
                <w:highlight w:val="none"/>
                <w:lang w:val="en-US" w:eastAsia="zh-CN"/>
              </w:rPr>
              <w:t>线上</w:t>
            </w:r>
          </w:p>
        </w:tc>
      </w:tr>
      <w:tr w14:paraId="3193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5D4BE650">
            <w:pPr>
              <w:ind w:firstLine="0" w:firstLineChars="0"/>
              <w:rPr>
                <w:bCs/>
                <w:iCs/>
                <w:color w:val="000000"/>
                <w:highlight w:val="none"/>
              </w:rPr>
            </w:pPr>
            <w:r>
              <w:rPr>
                <w:bCs/>
                <w:iCs/>
                <w:color w:val="000000"/>
                <w:highlight w:val="none"/>
              </w:rPr>
              <w:t>上市公司接待人员姓名</w:t>
            </w:r>
          </w:p>
        </w:tc>
        <w:tc>
          <w:tcPr>
            <w:tcW w:w="6859" w:type="dxa"/>
            <w:tcBorders>
              <w:top w:val="single" w:color="auto" w:sz="4" w:space="0"/>
              <w:left w:val="single" w:color="auto" w:sz="4" w:space="0"/>
              <w:bottom w:val="single" w:color="auto" w:sz="4" w:space="0"/>
              <w:right w:val="single" w:color="auto" w:sz="4" w:space="0"/>
            </w:tcBorders>
            <w:vAlign w:val="center"/>
          </w:tcPr>
          <w:p w14:paraId="002BF648">
            <w:pPr>
              <w:spacing w:line="480" w:lineRule="atLeast"/>
              <w:ind w:firstLine="0" w:firstLineChars="0"/>
              <w:rPr>
                <w:bCs/>
                <w:iCs/>
                <w:color w:val="000000"/>
                <w:highlight w:val="none"/>
              </w:rPr>
            </w:pPr>
            <w:r>
              <w:rPr>
                <w:bCs/>
                <w:iCs/>
                <w:color w:val="000000"/>
                <w:highlight w:val="none"/>
              </w:rPr>
              <w:t>董事会秘书：郭沁先生</w:t>
            </w:r>
          </w:p>
          <w:p w14:paraId="56D427F7">
            <w:pPr>
              <w:spacing w:line="480" w:lineRule="atLeast"/>
              <w:ind w:firstLine="0" w:firstLineChars="0"/>
              <w:rPr>
                <w:bCs/>
                <w:iCs/>
                <w:color w:val="000000"/>
                <w:highlight w:val="none"/>
              </w:rPr>
            </w:pPr>
            <w:r>
              <w:rPr>
                <w:rFonts w:hint="eastAsia"/>
                <w:bCs/>
                <w:iCs/>
                <w:color w:val="000000"/>
                <w:highlight w:val="none"/>
              </w:rPr>
              <w:t>IR：徐佳怡</w:t>
            </w:r>
          </w:p>
        </w:tc>
      </w:tr>
      <w:tr w14:paraId="0AD1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12B0ACC2">
            <w:pPr>
              <w:ind w:firstLine="0" w:firstLineChars="0"/>
              <w:rPr>
                <w:bCs/>
                <w:iCs/>
                <w:color w:val="000000"/>
                <w:highlight w:val="none"/>
              </w:rPr>
            </w:pPr>
            <w:r>
              <w:rPr>
                <w:bCs/>
                <w:iCs/>
                <w:color w:val="000000"/>
                <w:highlight w:val="none"/>
              </w:rPr>
              <w:t>投资者关系活动主要内容介绍</w:t>
            </w:r>
          </w:p>
        </w:tc>
        <w:tc>
          <w:tcPr>
            <w:tcW w:w="6859" w:type="dxa"/>
            <w:tcBorders>
              <w:top w:val="single" w:color="auto" w:sz="4" w:space="0"/>
              <w:left w:val="single" w:color="auto" w:sz="4" w:space="0"/>
              <w:bottom w:val="single" w:color="auto" w:sz="4" w:space="0"/>
              <w:right w:val="single" w:color="auto" w:sz="4" w:space="0"/>
            </w:tcBorders>
          </w:tcPr>
          <w:p w14:paraId="1EE046D3">
            <w:pPr>
              <w:pStyle w:val="18"/>
              <w:numPr>
                <w:ilvl w:val="0"/>
                <w:numId w:val="1"/>
              </w:numPr>
              <w:tabs>
                <w:tab w:val="left" w:pos="598"/>
              </w:tabs>
              <w:autoSpaceDE w:val="0"/>
              <w:autoSpaceDN w:val="0"/>
              <w:adjustRightInd w:val="0"/>
              <w:ind w:firstLineChars="0"/>
              <w:rPr>
                <w:b/>
                <w:bCs/>
                <w:iCs/>
                <w:color w:val="000000"/>
                <w:highlight w:val="none"/>
              </w:rPr>
            </w:pPr>
            <w:r>
              <w:rPr>
                <w:rFonts w:hint="eastAsia"/>
                <w:b/>
                <w:bCs/>
                <w:iCs/>
                <w:color w:val="000000"/>
                <w:highlight w:val="none"/>
              </w:rPr>
              <w:t>围绕均瑶健康的战略发展、益生菌业务、市场拓展情况以及供应链业务等方面，与市场进行了沟通交流。本次均瑶健康业绩交流会介绍了</w:t>
            </w:r>
            <w:r>
              <w:rPr>
                <w:rFonts w:hint="eastAsia"/>
                <w:b/>
                <w:bCs/>
                <w:iCs/>
                <w:color w:val="000000"/>
                <w:highlight w:val="none"/>
                <w:lang w:val="en-US" w:eastAsia="zh-CN"/>
              </w:rPr>
              <w:t>公司近期</w:t>
            </w:r>
            <w:r>
              <w:rPr>
                <w:rFonts w:hint="eastAsia"/>
                <w:b/>
                <w:bCs/>
                <w:iCs/>
                <w:color w:val="000000"/>
                <w:highlight w:val="none"/>
              </w:rPr>
              <w:t>业务</w:t>
            </w:r>
            <w:r>
              <w:rPr>
                <w:rFonts w:hint="eastAsia"/>
                <w:b/>
                <w:bCs/>
                <w:iCs/>
                <w:color w:val="000000"/>
                <w:highlight w:val="none"/>
                <w:lang w:val="en-US" w:eastAsia="zh-CN"/>
              </w:rPr>
              <w:t>经营</w:t>
            </w:r>
            <w:r>
              <w:rPr>
                <w:rFonts w:hint="eastAsia"/>
                <w:b/>
                <w:bCs/>
                <w:iCs/>
                <w:color w:val="000000"/>
                <w:highlight w:val="none"/>
              </w:rPr>
              <w:t>情况</w:t>
            </w:r>
            <w:r>
              <w:rPr>
                <w:rFonts w:hint="eastAsia"/>
                <w:b/>
                <w:bCs/>
                <w:iCs/>
                <w:color w:val="000000"/>
                <w:highlight w:val="none"/>
                <w:lang w:eastAsia="zh-CN"/>
              </w:rPr>
              <w:t>。</w:t>
            </w:r>
          </w:p>
          <w:p w14:paraId="6D2B993E">
            <w:pPr>
              <w:pStyle w:val="18"/>
              <w:numPr>
                <w:ilvl w:val="0"/>
                <w:numId w:val="0"/>
              </w:numPr>
              <w:tabs>
                <w:tab w:val="left" w:pos="598"/>
              </w:tabs>
              <w:autoSpaceDE w:val="0"/>
              <w:autoSpaceDN w:val="0"/>
              <w:adjustRightInd w:val="0"/>
              <w:ind w:left="396" w:leftChars="0"/>
              <w:rPr>
                <w:rFonts w:hint="eastAsia"/>
                <w:b/>
                <w:bCs/>
                <w:iCs/>
                <w:color w:val="000000"/>
                <w:highlight w:val="none"/>
                <w:lang w:val="en-US" w:eastAsia="zh-CN"/>
              </w:rPr>
            </w:pPr>
            <w:r>
              <w:rPr>
                <w:rFonts w:hint="eastAsia"/>
                <w:b/>
                <w:bCs/>
                <w:iCs/>
                <w:color w:val="000000"/>
                <w:highlight w:val="none"/>
                <w:lang w:val="en-US" w:eastAsia="zh-CN"/>
              </w:rPr>
              <w:t>业务方面：</w:t>
            </w:r>
          </w:p>
          <w:p w14:paraId="5AAD180F">
            <w:pPr>
              <w:pStyle w:val="18"/>
              <w:numPr>
                <w:ilvl w:val="0"/>
                <w:numId w:val="0"/>
              </w:numPr>
              <w:tabs>
                <w:tab w:val="left" w:pos="598"/>
              </w:tabs>
              <w:autoSpaceDE w:val="0"/>
              <w:autoSpaceDN w:val="0"/>
              <w:adjustRightInd w:val="0"/>
              <w:ind w:left="396" w:leftChars="0"/>
              <w:rPr>
                <w:rFonts w:hint="eastAsia"/>
                <w:b w:val="0"/>
                <w:bCs w:val="0"/>
                <w:iCs/>
                <w:color w:val="000000"/>
                <w:highlight w:val="none"/>
                <w:lang w:val="en-US" w:eastAsia="zh-CN"/>
              </w:rPr>
            </w:pPr>
            <w:r>
              <w:rPr>
                <w:rFonts w:hint="eastAsia"/>
                <w:b w:val="0"/>
                <w:bCs w:val="0"/>
                <w:iCs/>
                <w:color w:val="000000"/>
                <w:highlight w:val="none"/>
                <w:lang w:val="en-US" w:eastAsia="zh-CN"/>
              </w:rPr>
              <w:t>①味动力饮品：会进行渠道与产品结构优化，通过泛缘供应链</w:t>
            </w:r>
            <w:bookmarkStart w:id="0" w:name="_GoBack"/>
            <w:bookmarkEnd w:id="0"/>
            <w:r>
              <w:rPr>
                <w:rFonts w:hint="eastAsia"/>
                <w:b w:val="0"/>
                <w:bCs w:val="0"/>
                <w:iCs/>
                <w:color w:val="000000"/>
                <w:highlight w:val="none"/>
                <w:lang w:val="en-US" w:eastAsia="zh-CN"/>
              </w:rPr>
              <w:t>积极对接KA系统，每日系列功能性饮料陆续进入罗森等主流线下渠道，同时引入低温活菌版益生菌饮料，以适应渠道连锁化趋势。长期战略方面，不单一依赖味动力品牌，积极推进产品多元化，计划推出其他品牌及内容，以应对常温乳酸菌饮品增长瓶颈。</w:t>
            </w:r>
          </w:p>
          <w:p w14:paraId="357F080E">
            <w:pPr>
              <w:pStyle w:val="18"/>
              <w:numPr>
                <w:ilvl w:val="0"/>
                <w:numId w:val="0"/>
              </w:numPr>
              <w:tabs>
                <w:tab w:val="left" w:pos="598"/>
              </w:tabs>
              <w:autoSpaceDE w:val="0"/>
              <w:autoSpaceDN w:val="0"/>
              <w:adjustRightInd w:val="0"/>
              <w:ind w:left="396" w:leftChars="0"/>
              <w:rPr>
                <w:rFonts w:hint="eastAsia"/>
                <w:b w:val="0"/>
                <w:bCs w:val="0"/>
                <w:iCs/>
                <w:color w:val="000000"/>
                <w:highlight w:val="none"/>
                <w:lang w:val="en-US" w:eastAsia="zh-CN"/>
              </w:rPr>
            </w:pPr>
            <w:r>
              <w:rPr>
                <w:rFonts w:hint="eastAsia"/>
                <w:b w:val="0"/>
                <w:bCs w:val="0"/>
                <w:iCs/>
                <w:color w:val="000000"/>
                <w:highlight w:val="none"/>
                <w:lang w:val="en-US" w:eastAsia="zh-CN"/>
              </w:rPr>
              <w:t>②益生菌领域：均瑶润盈作为益生菌B端业务，呈现收入增长态势，且注重前端研发，将技术壁垒作为核心竞争力构建方向。益生菌C端：由体内三个电商团队推进，电商目前收入增长显著，未来电商业务会同步探索线下消费场景。</w:t>
            </w:r>
          </w:p>
          <w:p w14:paraId="52CA6403">
            <w:pPr>
              <w:pStyle w:val="18"/>
              <w:numPr>
                <w:ilvl w:val="0"/>
                <w:numId w:val="0"/>
              </w:numPr>
              <w:tabs>
                <w:tab w:val="left" w:pos="598"/>
              </w:tabs>
              <w:autoSpaceDE w:val="0"/>
              <w:autoSpaceDN w:val="0"/>
              <w:adjustRightInd w:val="0"/>
              <w:ind w:left="396" w:leftChars="0"/>
              <w:rPr>
                <w:rFonts w:hint="eastAsia"/>
                <w:b w:val="0"/>
                <w:bCs w:val="0"/>
                <w:iCs/>
                <w:color w:val="000000"/>
                <w:highlight w:val="none"/>
                <w:lang w:val="en-US" w:eastAsia="zh-CN"/>
              </w:rPr>
            </w:pPr>
            <w:r>
              <w:rPr>
                <w:rFonts w:hint="eastAsia"/>
                <w:b w:val="0"/>
                <w:bCs w:val="0"/>
                <w:iCs/>
                <w:color w:val="000000"/>
                <w:highlight w:val="none"/>
                <w:lang w:val="en-US" w:eastAsia="zh-CN"/>
              </w:rPr>
              <w:t>③供应链业务：</w:t>
            </w:r>
          </w:p>
          <w:p w14:paraId="151C6606">
            <w:pPr>
              <w:pStyle w:val="18"/>
              <w:numPr>
                <w:ilvl w:val="0"/>
                <w:numId w:val="0"/>
              </w:numPr>
              <w:tabs>
                <w:tab w:val="left" w:pos="598"/>
              </w:tabs>
              <w:autoSpaceDE w:val="0"/>
              <w:autoSpaceDN w:val="0"/>
              <w:adjustRightInd w:val="0"/>
              <w:ind w:left="396" w:leftChars="0"/>
              <w:rPr>
                <w:rFonts w:hint="eastAsia"/>
                <w:b w:val="0"/>
                <w:bCs w:val="0"/>
                <w:iCs/>
                <w:color w:val="000000"/>
                <w:highlight w:val="none"/>
                <w:lang w:val="en-US" w:eastAsia="zh-CN"/>
              </w:rPr>
            </w:pPr>
            <w:r>
              <w:rPr>
                <w:rFonts w:hint="eastAsia"/>
                <w:b w:val="0"/>
                <w:bCs w:val="0"/>
                <w:iCs/>
                <w:color w:val="000000"/>
                <w:highlight w:val="none"/>
                <w:lang w:val="en-US" w:eastAsia="zh-CN"/>
              </w:rPr>
              <w:t>供应链面临业务转型与资源整合，从传统贸易商向专业化渠道运营商的转型，承接公司低温产品全国零售系统业务，利用其冷链物流与零售系统资源优势，提升低温产品市场渗透率。</w:t>
            </w:r>
          </w:p>
          <w:p w14:paraId="77CD799A">
            <w:pPr>
              <w:pStyle w:val="18"/>
              <w:numPr>
                <w:ilvl w:val="0"/>
                <w:numId w:val="0"/>
              </w:numPr>
              <w:tabs>
                <w:tab w:val="left" w:pos="598"/>
              </w:tabs>
              <w:autoSpaceDE w:val="0"/>
              <w:autoSpaceDN w:val="0"/>
              <w:adjustRightInd w:val="0"/>
              <w:ind w:left="396" w:leftChars="0"/>
              <w:rPr>
                <w:rFonts w:hint="eastAsia"/>
                <w:b w:val="0"/>
                <w:bCs w:val="0"/>
                <w:iCs/>
                <w:color w:val="000000"/>
                <w:highlight w:val="none"/>
                <w:lang w:val="en-US" w:eastAsia="zh-CN"/>
              </w:rPr>
            </w:pPr>
          </w:p>
          <w:p w14:paraId="1D865C59">
            <w:pPr>
              <w:pStyle w:val="18"/>
              <w:numPr>
                <w:ilvl w:val="0"/>
                <w:numId w:val="1"/>
              </w:numPr>
              <w:tabs>
                <w:tab w:val="left" w:pos="598"/>
              </w:tabs>
              <w:autoSpaceDE w:val="0"/>
              <w:autoSpaceDN w:val="0"/>
              <w:adjustRightInd w:val="0"/>
              <w:ind w:firstLineChars="0"/>
              <w:rPr>
                <w:b/>
                <w:bCs/>
                <w:iCs/>
                <w:color w:val="000000"/>
                <w:highlight w:val="none"/>
              </w:rPr>
            </w:pPr>
            <w:r>
              <w:rPr>
                <w:rFonts w:hint="eastAsia"/>
                <w:b/>
                <w:bCs/>
                <w:iCs/>
                <w:color w:val="000000"/>
                <w:highlight w:val="none"/>
              </w:rPr>
              <w:t>沟通交流问答环节：</w:t>
            </w:r>
          </w:p>
          <w:p w14:paraId="4691828C">
            <w:pPr>
              <w:pStyle w:val="18"/>
              <w:numPr>
                <w:ilvl w:val="0"/>
                <w:numId w:val="2"/>
              </w:numPr>
              <w:tabs>
                <w:tab w:val="left" w:pos="462"/>
              </w:tabs>
              <w:ind w:left="0" w:firstLine="462" w:firstLineChars="0"/>
              <w:rPr>
                <w:b/>
                <w:bCs/>
                <w:iCs/>
                <w:color w:val="000000"/>
                <w:highlight w:val="none"/>
              </w:rPr>
            </w:pPr>
            <w:r>
              <w:rPr>
                <w:rFonts w:hint="eastAsia"/>
                <w:b/>
                <w:bCs/>
                <w:iCs/>
                <w:color w:val="000000"/>
                <w:highlight w:val="none"/>
              </w:rPr>
              <w:t>公司在常温乳酸菌饮品这块后续有什么规划？</w:t>
            </w:r>
          </w:p>
          <w:p w14:paraId="0DD593AD">
            <w:pPr>
              <w:pStyle w:val="18"/>
              <w:tabs>
                <w:tab w:val="left" w:pos="462"/>
              </w:tabs>
              <w:ind w:firstLine="460" w:firstLineChars="191"/>
              <w:rPr>
                <w:rFonts w:hint="eastAsia"/>
                <w:iCs/>
                <w:color w:val="000000"/>
                <w:highlight w:val="none"/>
              </w:rPr>
            </w:pPr>
            <w:r>
              <w:rPr>
                <w:rFonts w:hint="eastAsia"/>
                <w:b/>
                <w:bCs/>
                <w:iCs/>
                <w:color w:val="000000"/>
                <w:highlight w:val="none"/>
              </w:rPr>
              <w:t>A：</w:t>
            </w:r>
            <w:r>
              <w:rPr>
                <w:rFonts w:hint="eastAsia"/>
                <w:iCs/>
                <w:color w:val="000000"/>
                <w:highlight w:val="none"/>
              </w:rPr>
              <w:t>在常温乳酸菌饮品业务方面，公司将以味动力</w:t>
            </w:r>
            <w:r>
              <w:rPr>
                <w:rFonts w:hint="eastAsia"/>
                <w:iCs/>
                <w:color w:val="000000"/>
                <w:highlight w:val="none"/>
                <w:lang w:val="en-US" w:eastAsia="zh-CN"/>
              </w:rPr>
              <w:t>品牌</w:t>
            </w:r>
            <w:r>
              <w:rPr>
                <w:rFonts w:hint="eastAsia"/>
                <w:iCs/>
                <w:color w:val="000000"/>
                <w:highlight w:val="none"/>
              </w:rPr>
              <w:t>为</w:t>
            </w:r>
            <w:r>
              <w:rPr>
                <w:rFonts w:hint="eastAsia"/>
                <w:iCs/>
                <w:color w:val="000000"/>
                <w:highlight w:val="none"/>
                <w:lang w:val="en-US" w:eastAsia="zh-CN"/>
              </w:rPr>
              <w:t>基石</w:t>
            </w:r>
            <w:r>
              <w:rPr>
                <w:rFonts w:hint="eastAsia"/>
                <w:iCs/>
                <w:color w:val="000000"/>
                <w:highlight w:val="none"/>
              </w:rPr>
              <w:t>，持续优化产品结构与市场策略。当前阶段，味动力</w:t>
            </w:r>
            <w:r>
              <w:rPr>
                <w:rFonts w:hint="eastAsia"/>
                <w:iCs/>
                <w:color w:val="000000"/>
                <w:highlight w:val="none"/>
                <w:lang w:val="en-US" w:eastAsia="zh-CN"/>
              </w:rPr>
              <w:t>常温乳酸菌</w:t>
            </w:r>
            <w:r>
              <w:rPr>
                <w:rFonts w:hint="eastAsia"/>
                <w:iCs/>
                <w:color w:val="000000"/>
                <w:highlight w:val="none"/>
              </w:rPr>
              <w:t>作为公司核心产品之一，受行业竞争格局及消费需求变化影响，短期内重回</w:t>
            </w:r>
            <w:r>
              <w:rPr>
                <w:rFonts w:hint="eastAsia"/>
                <w:iCs/>
                <w:color w:val="000000"/>
                <w:highlight w:val="none"/>
                <w:lang w:val="en-US" w:eastAsia="zh-CN"/>
              </w:rPr>
              <w:t>巅峰</w:t>
            </w:r>
            <w:r>
              <w:rPr>
                <w:rFonts w:hint="eastAsia"/>
                <w:iCs/>
                <w:color w:val="000000"/>
                <w:highlight w:val="none"/>
              </w:rPr>
              <w:t>规模面临一定挑战，未来将以稳增长、提效益为目标，通过精细化运营巩固市场份额、持续贡献利润。</w:t>
            </w:r>
          </w:p>
          <w:p w14:paraId="0B67E4B5">
            <w:pPr>
              <w:pStyle w:val="18"/>
              <w:tabs>
                <w:tab w:val="left" w:pos="462"/>
              </w:tabs>
              <w:ind w:firstLine="458" w:firstLineChars="191"/>
              <w:rPr>
                <w:iCs/>
                <w:color w:val="000000"/>
                <w:highlight w:val="none"/>
              </w:rPr>
            </w:pPr>
            <w:r>
              <w:rPr>
                <w:rFonts w:hint="eastAsia"/>
                <w:iCs/>
                <w:color w:val="000000"/>
                <w:highlight w:val="none"/>
              </w:rPr>
              <w:t>从长期战略来看，公司不会将业务重心单一聚焦于味动力</w:t>
            </w:r>
            <w:r>
              <w:rPr>
                <w:rFonts w:hint="eastAsia"/>
                <w:iCs/>
                <w:color w:val="000000"/>
                <w:highlight w:val="none"/>
                <w:lang w:val="en-US" w:eastAsia="zh-CN"/>
              </w:rPr>
              <w:t>经典乳酸菌饮品</w:t>
            </w:r>
            <w:r>
              <w:rPr>
                <w:rFonts w:hint="eastAsia"/>
                <w:iCs/>
                <w:color w:val="000000"/>
                <w:highlight w:val="none"/>
              </w:rPr>
              <w:t>，而是正积极推进多元化产品矩阵的构建，味动力</w:t>
            </w:r>
            <w:r>
              <w:rPr>
                <w:rFonts w:hint="eastAsia"/>
                <w:iCs/>
                <w:color w:val="000000"/>
                <w:highlight w:val="none"/>
                <w:lang w:val="en-US" w:eastAsia="zh-CN"/>
              </w:rPr>
              <w:t>品牌</w:t>
            </w:r>
            <w:r>
              <w:rPr>
                <w:rFonts w:hint="eastAsia"/>
                <w:iCs/>
                <w:color w:val="000000"/>
                <w:highlight w:val="none"/>
              </w:rPr>
              <w:t>目前调整四大产品线：经典乳酸菌饮品，益生菌功能饮料，低温活菌饮料</w:t>
            </w:r>
            <w:r>
              <w:rPr>
                <w:rFonts w:hint="eastAsia"/>
                <w:iCs/>
                <w:color w:val="000000"/>
                <w:highlight w:val="none"/>
                <w:lang w:eastAsia="zh-CN"/>
              </w:rPr>
              <w:t>，</w:t>
            </w:r>
            <w:r>
              <w:rPr>
                <w:rFonts w:hint="eastAsia"/>
                <w:iCs/>
                <w:color w:val="000000"/>
                <w:highlight w:val="none"/>
              </w:rPr>
              <w:t>益生菌果汁</w:t>
            </w:r>
            <w:r>
              <w:rPr>
                <w:rFonts w:hint="eastAsia"/>
                <w:iCs/>
                <w:color w:val="000000"/>
                <w:highlight w:val="none"/>
                <w:lang w:eastAsia="zh-CN"/>
              </w:rPr>
              <w:t>。</w:t>
            </w:r>
            <w:r>
              <w:rPr>
                <w:rFonts w:hint="eastAsia"/>
                <w:iCs/>
                <w:color w:val="000000"/>
                <w:highlight w:val="none"/>
              </w:rPr>
              <w:t>计划围绕消费趋势与用户需求，推出全新品牌及差异化产品，进一步拓展在功能性饮品、健康食品等领域的布局，以提升公司整体市场竞争力与可持续发展能力。</w:t>
            </w:r>
          </w:p>
          <w:p w14:paraId="241253B8">
            <w:pPr>
              <w:tabs>
                <w:tab w:val="left" w:pos="462"/>
              </w:tabs>
              <w:ind w:firstLine="0" w:firstLineChars="0"/>
              <w:rPr>
                <w:iCs/>
                <w:color w:val="000000"/>
                <w:highlight w:val="none"/>
              </w:rPr>
            </w:pPr>
          </w:p>
          <w:p w14:paraId="40DFE2D4">
            <w:pPr>
              <w:pStyle w:val="18"/>
              <w:tabs>
                <w:tab w:val="left" w:pos="462"/>
              </w:tabs>
              <w:ind w:firstLine="482"/>
              <w:rPr>
                <w:b/>
                <w:bCs/>
                <w:iCs/>
                <w:color w:val="000000"/>
                <w:highlight w:val="none"/>
              </w:rPr>
            </w:pPr>
            <w:r>
              <w:rPr>
                <w:rFonts w:hint="eastAsia"/>
                <w:b/>
                <w:bCs/>
                <w:highlight w:val="none"/>
              </w:rPr>
              <w:t>2、</w:t>
            </w:r>
            <w:r>
              <w:rPr>
                <w:rFonts w:hint="eastAsia"/>
                <w:b/>
                <w:bCs/>
                <w:iCs/>
                <w:color w:val="000000"/>
                <w:highlight w:val="none"/>
              </w:rPr>
              <w:t>味动力的每日系列三款产品销售情况如何？</w:t>
            </w:r>
          </w:p>
          <w:p w14:paraId="6469B77D">
            <w:pPr>
              <w:pStyle w:val="18"/>
              <w:tabs>
                <w:tab w:val="left" w:pos="462"/>
              </w:tabs>
              <w:ind w:firstLine="460" w:firstLineChars="191"/>
              <w:rPr>
                <w:iCs/>
                <w:color w:val="000000"/>
                <w:highlight w:val="none"/>
              </w:rPr>
            </w:pPr>
            <w:r>
              <w:rPr>
                <w:rFonts w:hint="eastAsia"/>
                <w:b/>
                <w:bCs/>
                <w:iCs/>
                <w:color w:val="000000"/>
                <w:highlight w:val="none"/>
              </w:rPr>
              <w:t>A：</w:t>
            </w:r>
            <w:r>
              <w:rPr>
                <w:rFonts w:hint="eastAsia"/>
                <w:b w:val="0"/>
                <w:bCs w:val="0"/>
                <w:iCs/>
                <w:color w:val="000000"/>
                <w:highlight w:val="none"/>
                <w:lang w:val="en-US" w:eastAsia="zh-CN"/>
              </w:rPr>
              <w:t>通过泛缘积极对接KA系统，</w:t>
            </w:r>
            <w:r>
              <w:rPr>
                <w:rFonts w:hint="eastAsia"/>
                <w:iCs/>
                <w:color w:val="000000"/>
                <w:highlight w:val="none"/>
              </w:rPr>
              <w:t>味动力每日系列</w:t>
            </w:r>
            <w:r>
              <w:rPr>
                <w:rFonts w:hint="eastAsia"/>
                <w:iCs/>
                <w:color w:val="000000"/>
                <w:highlight w:val="none"/>
                <w:lang w:val="en-US" w:eastAsia="zh-CN"/>
              </w:rPr>
              <w:t>两</w:t>
            </w:r>
            <w:r>
              <w:rPr>
                <w:rFonts w:hint="eastAsia"/>
                <w:iCs/>
                <w:color w:val="000000"/>
                <w:highlight w:val="none"/>
              </w:rPr>
              <w:t>款产品已</w:t>
            </w:r>
            <w:r>
              <w:rPr>
                <w:rFonts w:hint="eastAsia"/>
                <w:iCs/>
                <w:color w:val="000000"/>
                <w:highlight w:val="none"/>
                <w:lang w:eastAsia="zh-CN"/>
              </w:rPr>
              <w:t>（</w:t>
            </w:r>
            <w:r>
              <w:rPr>
                <w:rFonts w:hint="eastAsia"/>
                <w:iCs/>
                <w:color w:val="000000"/>
                <w:highlight w:val="none"/>
                <w:lang w:val="en-US" w:eastAsia="zh-CN"/>
              </w:rPr>
              <w:t>助眠功效、护眼功效</w:t>
            </w:r>
            <w:r>
              <w:rPr>
                <w:rFonts w:hint="eastAsia"/>
                <w:iCs/>
                <w:color w:val="000000"/>
                <w:highlight w:val="none"/>
                <w:lang w:eastAsia="zh-CN"/>
              </w:rPr>
              <w:t>）</w:t>
            </w:r>
            <w:r>
              <w:rPr>
                <w:rFonts w:hint="eastAsia"/>
                <w:iCs/>
                <w:color w:val="000000"/>
                <w:highlight w:val="none"/>
                <w:lang w:val="en-US" w:eastAsia="zh-CN"/>
              </w:rPr>
              <w:t>已</w:t>
            </w:r>
            <w:r>
              <w:rPr>
                <w:rFonts w:hint="eastAsia"/>
                <w:iCs/>
                <w:color w:val="000000"/>
                <w:highlight w:val="none"/>
              </w:rPr>
              <w:t>通过</w:t>
            </w:r>
            <w:r>
              <w:rPr>
                <w:rFonts w:hint="eastAsia"/>
                <w:iCs/>
                <w:color w:val="000000"/>
                <w:highlight w:val="none"/>
                <w:lang w:val="en-US" w:eastAsia="zh-CN"/>
              </w:rPr>
              <w:t>便利店</w:t>
            </w:r>
            <w:r>
              <w:rPr>
                <w:rFonts w:hint="eastAsia"/>
                <w:iCs/>
                <w:color w:val="000000"/>
                <w:highlight w:val="none"/>
              </w:rPr>
              <w:t>渠道完成选品上架，该系列产品以添加功能性菌株为核心卖点，形成差异化竞争优势。当前阶段以线上</w:t>
            </w:r>
            <w:r>
              <w:rPr>
                <w:rFonts w:hint="eastAsia"/>
                <w:iCs/>
                <w:color w:val="000000"/>
                <w:highlight w:val="none"/>
                <w:lang w:eastAsia="zh-CN"/>
              </w:rPr>
              <w:t>、</w:t>
            </w:r>
            <w:r>
              <w:rPr>
                <w:rFonts w:hint="eastAsia"/>
                <w:iCs/>
                <w:color w:val="000000"/>
                <w:highlight w:val="none"/>
                <w:lang w:val="en-US" w:eastAsia="zh-CN"/>
              </w:rPr>
              <w:t>线下</w:t>
            </w:r>
            <w:r>
              <w:rPr>
                <w:rFonts w:hint="eastAsia"/>
                <w:iCs/>
                <w:color w:val="000000"/>
                <w:highlight w:val="none"/>
              </w:rPr>
              <w:t>渠道</w:t>
            </w:r>
            <w:r>
              <w:rPr>
                <w:rFonts w:hint="eastAsia"/>
                <w:iCs/>
                <w:color w:val="000000"/>
                <w:highlight w:val="none"/>
                <w:lang w:val="en-US" w:eastAsia="zh-CN"/>
              </w:rPr>
              <w:t>同步拓展</w:t>
            </w:r>
            <w:r>
              <w:rPr>
                <w:rFonts w:hint="eastAsia"/>
                <w:iCs/>
                <w:color w:val="000000"/>
                <w:highlight w:val="none"/>
              </w:rPr>
              <w:t>销售场景，正处于市场数据收集与消费反馈测试阶段。</w:t>
            </w:r>
          </w:p>
          <w:p w14:paraId="3814CDF0">
            <w:pPr>
              <w:pStyle w:val="18"/>
              <w:tabs>
                <w:tab w:val="left" w:pos="462"/>
              </w:tabs>
              <w:ind w:firstLine="480"/>
              <w:rPr>
                <w:rFonts w:hint="eastAsia"/>
                <w:iCs/>
                <w:color w:val="000000"/>
                <w:highlight w:val="none"/>
              </w:rPr>
            </w:pPr>
            <w:r>
              <w:rPr>
                <w:rFonts w:hint="eastAsia"/>
                <w:iCs/>
                <w:color w:val="000000"/>
                <w:highlight w:val="none"/>
              </w:rPr>
              <w:t>团队正基于用户反馈对产品进行多维度迭代优化，具体包括包装</w:t>
            </w:r>
            <w:r>
              <w:rPr>
                <w:rFonts w:hint="eastAsia"/>
                <w:iCs/>
                <w:color w:val="000000"/>
                <w:highlight w:val="none"/>
                <w:lang w:val="en-US" w:eastAsia="zh-CN"/>
              </w:rPr>
              <w:t>设计、</w:t>
            </w:r>
            <w:r>
              <w:rPr>
                <w:rFonts w:hint="eastAsia"/>
                <w:iCs/>
                <w:color w:val="000000"/>
                <w:highlight w:val="none"/>
              </w:rPr>
              <w:t>配方优化</w:t>
            </w:r>
            <w:r>
              <w:rPr>
                <w:rFonts w:hint="eastAsia"/>
                <w:iCs/>
                <w:color w:val="000000"/>
                <w:highlight w:val="none"/>
                <w:lang w:val="en-US" w:eastAsia="zh-CN"/>
              </w:rPr>
              <w:t>及</w:t>
            </w:r>
            <w:r>
              <w:rPr>
                <w:rFonts w:hint="eastAsia"/>
                <w:iCs/>
                <w:color w:val="000000"/>
                <w:highlight w:val="none"/>
              </w:rPr>
              <w:t>口感调试</w:t>
            </w:r>
            <w:r>
              <w:rPr>
                <w:rFonts w:hint="eastAsia"/>
                <w:iCs/>
                <w:color w:val="000000"/>
                <w:highlight w:val="none"/>
                <w:lang w:eastAsia="zh-CN"/>
              </w:rPr>
              <w:t>。</w:t>
            </w:r>
            <w:r>
              <w:rPr>
                <w:rFonts w:hint="eastAsia"/>
                <w:iCs/>
                <w:color w:val="000000"/>
                <w:highlight w:val="none"/>
              </w:rPr>
              <w:t>该系列产品目前处于商业化验证初期，后续将根据测试数据制定针对性推广策略，为规模化市场拓展奠定基础。</w:t>
            </w:r>
          </w:p>
          <w:p w14:paraId="3FBC0180">
            <w:pPr>
              <w:tabs>
                <w:tab w:val="left" w:pos="462"/>
              </w:tabs>
              <w:ind w:firstLine="0" w:firstLineChars="0"/>
              <w:rPr>
                <w:rFonts w:hint="eastAsia"/>
                <w:iCs/>
                <w:color w:val="000000"/>
                <w:highlight w:val="none"/>
              </w:rPr>
            </w:pPr>
          </w:p>
          <w:p w14:paraId="7B4C866C">
            <w:pPr>
              <w:ind w:firstLine="482"/>
              <w:rPr>
                <w:b/>
                <w:bCs/>
                <w:highlight w:val="none"/>
              </w:rPr>
            </w:pPr>
            <w:r>
              <w:rPr>
                <w:rFonts w:hint="eastAsia"/>
                <w:b/>
                <w:bCs/>
                <w:highlight w:val="none"/>
              </w:rPr>
              <w:t>3、今年</w:t>
            </w:r>
            <w:r>
              <w:rPr>
                <w:rFonts w:hint="eastAsia"/>
                <w:b/>
                <w:bCs/>
                <w:highlight w:val="none"/>
                <w:lang w:val="en-US" w:eastAsia="zh-CN"/>
              </w:rPr>
              <w:t>益生菌B端</w:t>
            </w:r>
            <w:r>
              <w:rPr>
                <w:rFonts w:hint="eastAsia"/>
                <w:b/>
                <w:bCs/>
                <w:highlight w:val="none"/>
              </w:rPr>
              <w:t>产能确定后拓</w:t>
            </w:r>
            <w:r>
              <w:rPr>
                <w:rFonts w:hint="eastAsia"/>
                <w:b/>
                <w:bCs/>
                <w:highlight w:val="none"/>
                <w:lang w:val="en-US" w:eastAsia="zh-CN"/>
              </w:rPr>
              <w:t>展客户</w:t>
            </w:r>
            <w:r>
              <w:rPr>
                <w:rFonts w:hint="eastAsia"/>
                <w:b/>
                <w:bCs/>
                <w:highlight w:val="none"/>
              </w:rPr>
              <w:t>的规划以及业绩增长情况展望？</w:t>
            </w:r>
          </w:p>
          <w:p w14:paraId="3EAE9C86">
            <w:pPr>
              <w:pStyle w:val="18"/>
              <w:tabs>
                <w:tab w:val="left" w:pos="462"/>
              </w:tabs>
              <w:ind w:firstLine="460" w:firstLineChars="191"/>
              <w:rPr>
                <w:rFonts w:hint="eastAsia"/>
                <w:iCs/>
                <w:color w:val="000000"/>
                <w:highlight w:val="none"/>
              </w:rPr>
            </w:pPr>
            <w:r>
              <w:rPr>
                <w:rFonts w:hint="eastAsia"/>
                <w:b/>
                <w:bCs/>
                <w:iCs/>
                <w:color w:val="000000"/>
                <w:highlight w:val="none"/>
              </w:rPr>
              <w:t>A：</w:t>
            </w:r>
            <w:r>
              <w:rPr>
                <w:rFonts w:hint="eastAsia"/>
                <w:iCs/>
                <w:color w:val="000000"/>
                <w:highlight w:val="none"/>
              </w:rPr>
              <w:t>今年</w:t>
            </w:r>
            <w:r>
              <w:rPr>
                <w:rFonts w:hint="eastAsia"/>
                <w:iCs/>
                <w:color w:val="000000"/>
                <w:highlight w:val="none"/>
                <w:lang w:val="en-US" w:eastAsia="zh-CN"/>
              </w:rPr>
              <w:t>一季度</w:t>
            </w:r>
            <w:r>
              <w:rPr>
                <w:rFonts w:hint="eastAsia"/>
                <w:iCs/>
                <w:color w:val="000000"/>
                <w:highlight w:val="none"/>
              </w:rPr>
              <w:t>开局态势良好，市场拓展成效显著，业绩同比实现显著增长，其中美国市场订单贡献突出。菌粉类产品作为食品领域的重要品类，在国际贸易环境下面临一定关税影响，但公司通过优化订单结构与供应链管理，有效缓解了外部因素冲击。</w:t>
            </w:r>
          </w:p>
          <w:p w14:paraId="4B78CC49">
            <w:pPr>
              <w:pStyle w:val="18"/>
              <w:tabs>
                <w:tab w:val="left" w:pos="462"/>
              </w:tabs>
              <w:ind w:firstLine="458" w:firstLineChars="191"/>
              <w:rPr>
                <w:rFonts w:hint="eastAsia"/>
                <w:iCs/>
                <w:color w:val="000000"/>
                <w:highlight w:val="none"/>
              </w:rPr>
            </w:pPr>
            <w:r>
              <w:rPr>
                <w:rFonts w:hint="eastAsia"/>
                <w:iCs/>
                <w:color w:val="000000"/>
                <w:highlight w:val="none"/>
                <w:lang w:val="en-US" w:eastAsia="zh-CN"/>
              </w:rPr>
              <w:t>上半年</w:t>
            </w:r>
            <w:r>
              <w:rPr>
                <w:rFonts w:hint="eastAsia"/>
                <w:iCs/>
                <w:color w:val="000000"/>
                <w:highlight w:val="none"/>
              </w:rPr>
              <w:t>接获的美国</w:t>
            </w:r>
            <w:r>
              <w:rPr>
                <w:rFonts w:hint="eastAsia"/>
                <w:iCs/>
                <w:color w:val="000000"/>
                <w:highlight w:val="none"/>
                <w:lang w:val="en-US" w:eastAsia="zh-CN"/>
              </w:rPr>
              <w:t>客户</w:t>
            </w:r>
            <w:r>
              <w:rPr>
                <w:rFonts w:hint="eastAsia"/>
                <w:iCs/>
                <w:color w:val="000000"/>
                <w:highlight w:val="none"/>
              </w:rPr>
              <w:t>订单，体现了市场对公司产品的高度认可，但受限于当前产能规模，需通过合理调配生产周期以保障交付。在产能瓶颈尚未完全突破的背景下，公司全年业绩增长虽难以达到原规划的翻倍目标，但依托现有市场拓展节奏及客户需求的持续释放，预计将保持稳健增长态势。</w:t>
            </w:r>
          </w:p>
          <w:p w14:paraId="5C2A0981">
            <w:pPr>
              <w:pStyle w:val="18"/>
              <w:tabs>
                <w:tab w:val="left" w:pos="462"/>
              </w:tabs>
              <w:ind w:firstLine="458" w:firstLineChars="191"/>
              <w:rPr>
                <w:rFonts w:hint="eastAsia"/>
                <w:iCs/>
                <w:color w:val="000000"/>
                <w:highlight w:val="none"/>
              </w:rPr>
            </w:pPr>
            <w:r>
              <w:rPr>
                <w:rFonts w:hint="eastAsia"/>
                <w:iCs/>
                <w:color w:val="000000"/>
                <w:highlight w:val="none"/>
              </w:rPr>
              <w:t>未来，公司将在巩固现有客户合作的基础上，进一步优化国内外市场布局，同时加速产能提升计划的推进，以更好地匹配市场需求，为业绩的长期可持续增长夯实基础。</w:t>
            </w:r>
          </w:p>
          <w:p w14:paraId="1E0205DA">
            <w:pPr>
              <w:pStyle w:val="18"/>
              <w:tabs>
                <w:tab w:val="left" w:pos="462"/>
              </w:tabs>
              <w:ind w:firstLine="458" w:firstLineChars="191"/>
              <w:rPr>
                <w:rFonts w:hint="eastAsia"/>
                <w:iCs/>
                <w:color w:val="000000"/>
                <w:highlight w:val="none"/>
              </w:rPr>
            </w:pPr>
          </w:p>
          <w:p w14:paraId="296CB8FF">
            <w:pPr>
              <w:ind w:firstLine="482"/>
              <w:rPr>
                <w:b/>
                <w:bCs/>
                <w:highlight w:val="none"/>
              </w:rPr>
            </w:pPr>
            <w:r>
              <w:rPr>
                <w:rFonts w:hint="eastAsia"/>
                <w:b/>
                <w:bCs/>
                <w:iCs/>
                <w:color w:val="000000"/>
                <w:highlight w:val="none"/>
              </w:rPr>
              <w:t>4、</w:t>
            </w:r>
            <w:r>
              <w:rPr>
                <w:rFonts w:hint="eastAsia"/>
                <w:b/>
                <w:bCs/>
                <w:highlight w:val="none"/>
                <w:lang w:val="en-US" w:eastAsia="zh-CN"/>
              </w:rPr>
              <w:t>均瑶</w:t>
            </w:r>
            <w:r>
              <w:rPr>
                <w:rFonts w:hint="eastAsia"/>
                <w:b/>
                <w:bCs/>
                <w:highlight w:val="none"/>
              </w:rPr>
              <w:t>润盈在</w:t>
            </w:r>
            <w:r>
              <w:rPr>
                <w:rFonts w:hint="eastAsia"/>
                <w:b/>
                <w:bCs/>
                <w:highlight w:val="none"/>
                <w:lang w:val="en-US" w:eastAsia="zh-CN"/>
              </w:rPr>
              <w:t>公司</w:t>
            </w:r>
            <w:r>
              <w:rPr>
                <w:rFonts w:hint="eastAsia"/>
                <w:b/>
                <w:bCs/>
                <w:highlight w:val="none"/>
              </w:rPr>
              <w:t>C端业务中的角色和运作模式是怎样的？</w:t>
            </w:r>
          </w:p>
          <w:p w14:paraId="71E32330">
            <w:pPr>
              <w:pStyle w:val="18"/>
              <w:tabs>
                <w:tab w:val="left" w:pos="462"/>
              </w:tabs>
              <w:ind w:firstLine="480"/>
              <w:rPr>
                <w:rFonts w:hint="eastAsia"/>
                <w:iCs/>
                <w:color w:val="000000"/>
                <w:highlight w:val="none"/>
              </w:rPr>
            </w:pPr>
            <w:r>
              <w:rPr>
                <w:rFonts w:hint="eastAsia"/>
                <w:b/>
                <w:bCs/>
                <w:iCs/>
                <w:color w:val="000000"/>
                <w:highlight w:val="none"/>
              </w:rPr>
              <w:t>A：</w:t>
            </w:r>
            <w:r>
              <w:rPr>
                <w:rFonts w:hint="eastAsia"/>
                <w:iCs/>
                <w:color w:val="000000"/>
                <w:highlight w:val="none"/>
              </w:rPr>
              <w:t>在C端业务中，</w:t>
            </w:r>
            <w:r>
              <w:rPr>
                <w:rFonts w:hint="eastAsia"/>
                <w:iCs/>
                <w:color w:val="000000"/>
                <w:highlight w:val="none"/>
                <w:lang w:val="en-US" w:eastAsia="zh-CN"/>
              </w:rPr>
              <w:t>均瑶</w:t>
            </w:r>
            <w:r>
              <w:rPr>
                <w:rFonts w:hint="eastAsia"/>
                <w:iCs/>
                <w:color w:val="000000"/>
                <w:highlight w:val="none"/>
              </w:rPr>
              <w:t>润盈定位为均瑶健康旗下聚焦益生菌技术的核心载体，主要承担前端技术研发与产品创新的战略角色。</w:t>
            </w:r>
            <w:r>
              <w:rPr>
                <w:rFonts w:hint="eastAsia"/>
                <w:iCs/>
                <w:color w:val="000000"/>
                <w:highlight w:val="none"/>
                <w:lang w:val="en-US" w:eastAsia="zh-CN"/>
              </w:rPr>
              <w:t>赋能体内电商</w:t>
            </w:r>
            <w:r>
              <w:rPr>
                <w:rFonts w:hint="eastAsia"/>
                <w:iCs/>
                <w:color w:val="000000"/>
                <w:highlight w:val="none"/>
              </w:rPr>
              <w:t>平台，</w:t>
            </w:r>
            <w:r>
              <w:rPr>
                <w:rFonts w:hint="eastAsia"/>
                <w:iCs/>
                <w:color w:val="000000"/>
                <w:highlight w:val="none"/>
                <w:lang w:val="en-US" w:eastAsia="zh-CN"/>
              </w:rPr>
              <w:t>公司</w:t>
            </w:r>
            <w:r>
              <w:rPr>
                <w:rFonts w:hint="eastAsia"/>
                <w:iCs/>
                <w:color w:val="000000"/>
                <w:highlight w:val="none"/>
              </w:rPr>
              <w:t>C 端产品均以益生菌技术或益生菌发酵工艺为核心，旨在通过差异化的技术壁垒构建市场竞争力。</w:t>
            </w:r>
          </w:p>
          <w:p w14:paraId="7F3E8C72">
            <w:pPr>
              <w:pStyle w:val="18"/>
              <w:tabs>
                <w:tab w:val="left" w:pos="462"/>
              </w:tabs>
              <w:ind w:firstLine="480"/>
              <w:rPr>
                <w:rFonts w:hint="eastAsia"/>
                <w:iCs/>
                <w:color w:val="000000"/>
                <w:highlight w:val="none"/>
              </w:rPr>
            </w:pPr>
            <w:r>
              <w:rPr>
                <w:rFonts w:hint="eastAsia"/>
                <w:iCs/>
                <w:color w:val="000000"/>
                <w:highlight w:val="none"/>
              </w:rPr>
              <w:t>从运作模式来看，前端环节公司聚焦高附加值的研发与产品设计，确保产品在菌株活性、功效适配性等方面的技术领先性。</w:t>
            </w:r>
          </w:p>
          <w:p w14:paraId="41F5BCAB">
            <w:pPr>
              <w:pStyle w:val="18"/>
              <w:tabs>
                <w:tab w:val="left" w:pos="462"/>
              </w:tabs>
              <w:ind w:left="0" w:leftChars="0" w:firstLine="0" w:firstLineChars="0"/>
              <w:rPr>
                <w:rFonts w:hint="eastAsia"/>
                <w:iCs/>
                <w:color w:val="000000"/>
                <w:highlight w:val="none"/>
              </w:rPr>
            </w:pPr>
            <w:r>
              <w:rPr>
                <w:rFonts w:hint="eastAsia"/>
                <w:iCs/>
                <w:color w:val="000000"/>
                <w:highlight w:val="none"/>
              </w:rPr>
              <w:t>后端环节</w:t>
            </w:r>
            <w:r>
              <w:rPr>
                <w:rFonts w:hint="eastAsia"/>
                <w:iCs/>
                <w:color w:val="000000"/>
                <w:highlight w:val="none"/>
                <w:lang w:val="en-US" w:eastAsia="zh-CN"/>
              </w:rPr>
              <w:t>也可依托均瑶</w:t>
            </w:r>
            <w:r>
              <w:rPr>
                <w:rFonts w:hint="eastAsia"/>
                <w:iCs/>
                <w:color w:val="000000"/>
                <w:highlight w:val="none"/>
              </w:rPr>
              <w:t>润盈在生产、规模化制造等环节</w:t>
            </w:r>
            <w:r>
              <w:rPr>
                <w:rFonts w:hint="eastAsia"/>
                <w:iCs/>
                <w:color w:val="000000"/>
                <w:highlight w:val="none"/>
                <w:lang w:val="en-US" w:eastAsia="zh-CN"/>
              </w:rPr>
              <w:t>的</w:t>
            </w:r>
            <w:r>
              <w:rPr>
                <w:rFonts w:hint="eastAsia"/>
                <w:iCs/>
                <w:color w:val="000000"/>
                <w:highlight w:val="none"/>
              </w:rPr>
              <w:t>核心优势，为提升生产效率与成本管控能力，专注于品控标准制定。</w:t>
            </w:r>
          </w:p>
          <w:p w14:paraId="3101DD22">
            <w:pPr>
              <w:pStyle w:val="18"/>
              <w:tabs>
                <w:tab w:val="left" w:pos="462"/>
              </w:tabs>
              <w:ind w:firstLine="458" w:firstLineChars="191"/>
              <w:rPr>
                <w:rFonts w:hint="eastAsia"/>
                <w:iCs/>
                <w:color w:val="000000"/>
                <w:highlight w:val="none"/>
              </w:rPr>
            </w:pPr>
            <w:r>
              <w:rPr>
                <w:rFonts w:hint="eastAsia"/>
                <w:iCs/>
                <w:color w:val="000000"/>
                <w:highlight w:val="none"/>
              </w:rPr>
              <w:t>这一模式既有助于润盈快速响应市场需求、缩短产品迭代周期，降低重资产投入风险，从而更高效地推动益生菌技术在 C 端市场的商业化落地。</w:t>
            </w:r>
          </w:p>
          <w:p w14:paraId="528B044C">
            <w:pPr>
              <w:pStyle w:val="18"/>
              <w:tabs>
                <w:tab w:val="left" w:pos="462"/>
              </w:tabs>
              <w:ind w:firstLine="458" w:firstLineChars="191"/>
              <w:rPr>
                <w:rFonts w:hint="eastAsia"/>
                <w:iCs/>
                <w:color w:val="000000"/>
                <w:highlight w:val="none"/>
              </w:rPr>
            </w:pPr>
          </w:p>
          <w:p w14:paraId="1D99BDA9">
            <w:pPr>
              <w:pStyle w:val="18"/>
              <w:tabs>
                <w:tab w:val="left" w:pos="462"/>
              </w:tabs>
              <w:ind w:firstLine="482"/>
              <w:rPr>
                <w:rFonts w:hint="eastAsia"/>
                <w:b/>
                <w:bCs/>
                <w:iCs/>
                <w:color w:val="000000"/>
                <w:highlight w:val="none"/>
              </w:rPr>
            </w:pPr>
            <w:r>
              <w:rPr>
                <w:rFonts w:hint="eastAsia"/>
                <w:b/>
                <w:bCs/>
                <w:iCs/>
                <w:color w:val="000000"/>
                <w:highlight w:val="none"/>
              </w:rPr>
              <w:t>5、泛缘在体系内销售的主要产品线？今年会拓展其他地区吗？</w:t>
            </w:r>
          </w:p>
          <w:p w14:paraId="4AB3F314">
            <w:pPr>
              <w:pStyle w:val="18"/>
              <w:tabs>
                <w:tab w:val="left" w:pos="462"/>
              </w:tabs>
              <w:ind w:firstLine="460" w:firstLineChars="191"/>
              <w:rPr>
                <w:rFonts w:hint="eastAsia"/>
                <w:iCs/>
                <w:color w:val="000000"/>
                <w:highlight w:val="none"/>
              </w:rPr>
            </w:pPr>
            <w:r>
              <w:rPr>
                <w:rFonts w:hint="eastAsia"/>
                <w:b/>
                <w:bCs/>
                <w:iCs/>
                <w:color w:val="000000"/>
                <w:highlight w:val="none"/>
              </w:rPr>
              <w:t>A：</w:t>
            </w:r>
            <w:r>
              <w:rPr>
                <w:rFonts w:hint="eastAsia"/>
                <w:iCs/>
                <w:color w:val="000000"/>
                <w:highlight w:val="none"/>
              </w:rPr>
              <w:t>泛缘在体系内的销售产品线涵盖乳制品</w:t>
            </w:r>
            <w:r>
              <w:rPr>
                <w:rFonts w:hint="eastAsia"/>
                <w:iCs/>
                <w:color w:val="000000"/>
                <w:highlight w:val="none"/>
                <w:lang w:eastAsia="zh-CN"/>
              </w:rPr>
              <w:t>、</w:t>
            </w:r>
            <w:r>
              <w:rPr>
                <w:rFonts w:hint="eastAsia"/>
                <w:iCs/>
                <w:color w:val="000000"/>
                <w:highlight w:val="none"/>
                <w:lang w:val="en-US" w:eastAsia="zh-CN"/>
              </w:rPr>
              <w:t>饮料、海鲜冻品</w:t>
            </w:r>
            <w:r>
              <w:rPr>
                <w:rFonts w:hint="eastAsia"/>
                <w:iCs/>
                <w:color w:val="000000"/>
                <w:highlight w:val="none"/>
              </w:rPr>
              <w:t>等品类，当前主要销售区域聚焦于上海及长三角部分地区。</w:t>
            </w:r>
          </w:p>
          <w:p w14:paraId="75D11811">
            <w:pPr>
              <w:ind w:firstLine="482"/>
              <w:rPr>
                <w:rFonts w:hint="eastAsia"/>
                <w:iCs/>
                <w:color w:val="000000"/>
                <w:highlight w:val="none"/>
              </w:rPr>
            </w:pPr>
            <w:r>
              <w:rPr>
                <w:rFonts w:hint="eastAsia"/>
                <w:iCs/>
                <w:color w:val="000000"/>
                <w:highlight w:val="none"/>
              </w:rPr>
              <w:t>关于区域拓展规划，公司今年将启动全国性市场布局，重点承接味动力品牌相关的 KA 系统渠道运营，以上海为起点，逐步向其他地区延伸。业务范围将覆盖盒马、</w:t>
            </w:r>
            <w:r>
              <w:rPr>
                <w:rFonts w:hint="eastAsia"/>
                <w:iCs/>
                <w:color w:val="000000"/>
                <w:highlight w:val="none"/>
                <w:lang w:val="en-US" w:eastAsia="zh-CN"/>
              </w:rPr>
              <w:t>OLE、</w:t>
            </w:r>
            <w:r>
              <w:rPr>
                <w:rFonts w:hint="eastAsia"/>
                <w:iCs/>
                <w:color w:val="000000"/>
                <w:highlight w:val="none"/>
              </w:rPr>
              <w:t>麦德龙等多个全国性连锁渠道，通过整合自有品牌与贴牌代工模式，进一步扩大市场覆盖范围与产品矩阵的多元化布局。</w:t>
            </w:r>
          </w:p>
          <w:p w14:paraId="28B1B018">
            <w:pPr>
              <w:pStyle w:val="18"/>
              <w:tabs>
                <w:tab w:val="left" w:pos="462"/>
              </w:tabs>
              <w:ind w:firstLine="480"/>
              <w:rPr>
                <w:rFonts w:hint="eastAsia"/>
                <w:iCs/>
                <w:color w:val="000000"/>
                <w:highlight w:val="none"/>
              </w:rPr>
            </w:pPr>
          </w:p>
          <w:p w14:paraId="44E3EF44">
            <w:pPr>
              <w:pStyle w:val="18"/>
              <w:tabs>
                <w:tab w:val="left" w:pos="462"/>
              </w:tabs>
              <w:ind w:firstLine="482"/>
              <w:rPr>
                <w:b/>
                <w:bCs/>
                <w:iCs/>
                <w:color w:val="000000"/>
                <w:highlight w:val="none"/>
              </w:rPr>
            </w:pPr>
            <w:r>
              <w:rPr>
                <w:rFonts w:hint="eastAsia"/>
                <w:b/>
                <w:bCs/>
                <w:iCs/>
                <w:color w:val="000000"/>
                <w:highlight w:val="none"/>
              </w:rPr>
              <w:t>6、泛缘的商业模式如何？公司对其有什么要求？</w:t>
            </w:r>
          </w:p>
          <w:p w14:paraId="2D791CBC">
            <w:pPr>
              <w:pStyle w:val="18"/>
              <w:tabs>
                <w:tab w:val="left" w:pos="462"/>
              </w:tabs>
              <w:ind w:firstLine="460" w:firstLineChars="191"/>
              <w:rPr>
                <w:rFonts w:hint="eastAsia" w:eastAsia="宋体"/>
                <w:iCs/>
                <w:color w:val="000000"/>
                <w:highlight w:val="none"/>
                <w:lang w:eastAsia="zh-CN"/>
              </w:rPr>
            </w:pPr>
            <w:r>
              <w:rPr>
                <w:rFonts w:hint="eastAsia"/>
                <w:b/>
                <w:bCs/>
                <w:iCs/>
                <w:color w:val="000000"/>
                <w:highlight w:val="none"/>
              </w:rPr>
              <w:t>A：</w:t>
            </w:r>
            <w:r>
              <w:rPr>
                <w:rFonts w:hint="eastAsia"/>
                <w:iCs/>
                <w:color w:val="000000"/>
                <w:highlight w:val="none"/>
              </w:rPr>
              <w:t>泛缘的传统商业模式以大宗商品贸易为主，通过整合上游品牌资源与下游终端渠道，形成 “采购 - 分销” 的流通链路，属于传统经销商的运营范畴。业务早期聚焦于常规贸易业务</w:t>
            </w:r>
            <w:r>
              <w:rPr>
                <w:rFonts w:hint="eastAsia"/>
                <w:iCs/>
                <w:color w:val="000000"/>
                <w:highlight w:val="none"/>
                <w:lang w:eastAsia="zh-CN"/>
              </w:rPr>
              <w:t>。</w:t>
            </w:r>
          </w:p>
          <w:p w14:paraId="7C0B159F">
            <w:pPr>
              <w:pStyle w:val="18"/>
              <w:tabs>
                <w:tab w:val="left" w:pos="462"/>
              </w:tabs>
              <w:ind w:firstLine="458" w:firstLineChars="191"/>
              <w:rPr>
                <w:rFonts w:hint="eastAsia"/>
                <w:iCs/>
                <w:color w:val="000000"/>
                <w:highlight w:val="none"/>
                <w:lang w:val="en-US" w:eastAsia="zh-CN"/>
              </w:rPr>
            </w:pPr>
            <w:r>
              <w:rPr>
                <w:rFonts w:hint="eastAsia"/>
                <w:iCs/>
                <w:color w:val="000000"/>
                <w:highlight w:val="none"/>
              </w:rPr>
              <w:t>公司对泛缘的战略定位正逐步升级，</w:t>
            </w:r>
            <w:r>
              <w:rPr>
                <w:rFonts w:hint="eastAsia"/>
                <w:iCs/>
                <w:color w:val="000000"/>
                <w:highlight w:val="none"/>
                <w:lang w:val="en-US" w:eastAsia="zh-CN"/>
              </w:rPr>
              <w:t>主要包括：</w:t>
            </w:r>
          </w:p>
          <w:p w14:paraId="0C258B21">
            <w:pPr>
              <w:pStyle w:val="18"/>
              <w:tabs>
                <w:tab w:val="left" w:pos="462"/>
              </w:tabs>
              <w:ind w:firstLine="458" w:firstLineChars="191"/>
              <w:rPr>
                <w:rFonts w:hint="eastAsia"/>
                <w:iCs/>
                <w:color w:val="000000"/>
                <w:highlight w:val="none"/>
              </w:rPr>
            </w:pPr>
            <w:r>
              <w:rPr>
                <w:rFonts w:hint="eastAsia"/>
                <w:iCs/>
                <w:color w:val="000000"/>
                <w:highlight w:val="none"/>
                <w:lang w:val="en-US" w:eastAsia="zh-CN"/>
              </w:rPr>
              <w:t>一方面业务重心转向高附加值产品：重点承接味动力系列产品的市场推广，依托该类产品的差异化竞争优势，优化业务结构与盈利质量</w:t>
            </w:r>
            <w:r>
              <w:rPr>
                <w:rFonts w:hint="eastAsia"/>
                <w:iCs/>
                <w:color w:val="000000"/>
                <w:highlight w:val="none"/>
              </w:rPr>
              <w:t>。</w:t>
            </w:r>
          </w:p>
          <w:p w14:paraId="62AF9011">
            <w:pPr>
              <w:pStyle w:val="18"/>
              <w:tabs>
                <w:tab w:val="left" w:pos="462"/>
              </w:tabs>
              <w:ind w:firstLine="458" w:firstLineChars="191"/>
              <w:rPr>
                <w:rFonts w:hint="eastAsia"/>
                <w:iCs/>
                <w:color w:val="000000"/>
                <w:highlight w:val="none"/>
              </w:rPr>
            </w:pPr>
            <w:r>
              <w:rPr>
                <w:rFonts w:hint="eastAsia"/>
                <w:iCs/>
                <w:color w:val="000000"/>
                <w:highlight w:val="none"/>
                <w:lang w:val="en-US" w:eastAsia="zh-CN"/>
              </w:rPr>
              <w:t>另一方面拓展低温产品全国零售渠道：负责公司低温活菌产品线在全国性零售系统的落地与运营，通过整合线下连锁渠道资源，提升低温品类的市场渗透率与品牌曝光度</w:t>
            </w:r>
            <w:r>
              <w:rPr>
                <w:rFonts w:hint="eastAsia"/>
                <w:iCs/>
                <w:color w:val="000000"/>
                <w:highlight w:val="none"/>
              </w:rPr>
              <w:t>。</w:t>
            </w:r>
          </w:p>
          <w:p w14:paraId="4F83A633">
            <w:pPr>
              <w:tabs>
                <w:tab w:val="left" w:pos="4312"/>
              </w:tabs>
              <w:ind w:firstLine="0" w:firstLineChars="0"/>
              <w:rPr>
                <w:iCs/>
                <w:color w:val="000000"/>
                <w:highlight w:val="none"/>
              </w:rPr>
            </w:pPr>
            <w:r>
              <w:rPr>
                <w:rFonts w:hint="eastAsia"/>
                <w:iCs/>
                <w:color w:val="000000"/>
                <w:highlight w:val="none"/>
              </w:rPr>
              <w:tab/>
            </w:r>
          </w:p>
          <w:p w14:paraId="088BD0F1">
            <w:pPr>
              <w:pStyle w:val="18"/>
              <w:tabs>
                <w:tab w:val="left" w:pos="462"/>
              </w:tabs>
              <w:ind w:firstLine="482"/>
              <w:rPr>
                <w:rFonts w:hint="eastAsia" w:eastAsia="宋体"/>
                <w:b/>
                <w:bCs/>
                <w:iCs/>
                <w:color w:val="000000"/>
                <w:highlight w:val="none"/>
                <w:lang w:eastAsia="zh-CN"/>
              </w:rPr>
            </w:pPr>
            <w:r>
              <w:rPr>
                <w:rFonts w:hint="eastAsia"/>
                <w:b/>
                <w:bCs/>
                <w:iCs/>
                <w:color w:val="000000"/>
                <w:highlight w:val="none"/>
              </w:rPr>
              <w:t>7、公司常温产品和低温产品的销售渠道是怎样安排的？</w:t>
            </w:r>
          </w:p>
          <w:p w14:paraId="378AD95C">
            <w:pPr>
              <w:pStyle w:val="18"/>
              <w:tabs>
                <w:tab w:val="left" w:pos="462"/>
              </w:tabs>
              <w:ind w:firstLine="460" w:firstLineChars="191"/>
              <w:rPr>
                <w:rFonts w:hint="eastAsia"/>
                <w:iCs/>
                <w:color w:val="000000"/>
                <w:highlight w:val="none"/>
              </w:rPr>
            </w:pPr>
            <w:r>
              <w:rPr>
                <w:rFonts w:hint="eastAsia"/>
                <w:b/>
                <w:bCs/>
                <w:iCs/>
                <w:color w:val="000000"/>
                <w:highlight w:val="none"/>
              </w:rPr>
              <w:t>A：</w:t>
            </w:r>
            <w:r>
              <w:rPr>
                <w:rFonts w:hint="eastAsia"/>
                <w:iCs/>
                <w:color w:val="000000"/>
                <w:highlight w:val="none"/>
                <w:lang w:val="en-US" w:eastAsia="zh-CN"/>
              </w:rPr>
              <w:t>常温产品</w:t>
            </w:r>
            <w:r>
              <w:rPr>
                <w:rFonts w:hint="eastAsia"/>
                <w:iCs/>
                <w:color w:val="000000"/>
                <w:highlight w:val="none"/>
              </w:rPr>
              <w:t>线下依托全国经销商网络，利用常温产品保质期较长、渠道覆盖灵活的特点，通过层级分销体系触达便利店、商超、杂货店等多元化终端；线上同步布局电商平台及社交零售渠道，强化品牌曝光与即时消费场景渗透，形成全渠道流量互补。</w:t>
            </w:r>
          </w:p>
          <w:p w14:paraId="00EBBF2B">
            <w:pPr>
              <w:pStyle w:val="18"/>
              <w:tabs>
                <w:tab w:val="left" w:pos="462"/>
              </w:tabs>
              <w:ind w:firstLine="458" w:firstLineChars="191"/>
              <w:rPr>
                <w:iCs/>
                <w:color w:val="000000"/>
                <w:highlight w:val="none"/>
              </w:rPr>
            </w:pPr>
            <w:r>
              <w:rPr>
                <w:rFonts w:hint="eastAsia"/>
                <w:iCs/>
                <w:color w:val="000000"/>
                <w:highlight w:val="none"/>
                <w:lang w:val="en-US" w:eastAsia="zh-CN"/>
              </w:rPr>
              <w:t>低温产品线下全部委托泛缘等具备冷链物流能力与零售系统资源的合作伙伴运营，因其在低温产品仓储、配送及终端管理方面更具专业性，可有效保障产品新鲜度与货架周转率，这样通过匹配产品属性与渠道特性，实现资源优化配置，既保障常温产品的市场覆盖广度，又强化低温产品的渠道运营深度</w:t>
            </w:r>
            <w:r>
              <w:rPr>
                <w:rFonts w:hint="eastAsia"/>
                <w:iCs/>
                <w:color w:val="000000"/>
                <w:highlight w:val="none"/>
              </w:rPr>
              <w:t>。</w:t>
            </w:r>
          </w:p>
          <w:p w14:paraId="5B3AC5F4">
            <w:pPr>
              <w:tabs>
                <w:tab w:val="left" w:pos="462"/>
              </w:tabs>
              <w:ind w:firstLine="0" w:firstLineChars="0"/>
              <w:rPr>
                <w:iCs/>
                <w:color w:val="000000"/>
                <w:highlight w:val="none"/>
              </w:rPr>
            </w:pPr>
          </w:p>
          <w:p w14:paraId="6ABB5200">
            <w:pPr>
              <w:pStyle w:val="18"/>
              <w:numPr>
                <w:ilvl w:val="0"/>
                <w:numId w:val="3"/>
              </w:numPr>
              <w:tabs>
                <w:tab w:val="left" w:pos="462"/>
              </w:tabs>
              <w:ind w:left="20" w:leftChars="0" w:firstLine="460" w:firstLineChars="0"/>
              <w:rPr>
                <w:b/>
                <w:bCs/>
                <w:iCs/>
                <w:color w:val="000000"/>
                <w:highlight w:val="none"/>
              </w:rPr>
            </w:pPr>
            <w:r>
              <w:rPr>
                <w:rFonts w:hint="eastAsia"/>
                <w:b/>
                <w:bCs/>
                <w:iCs/>
                <w:color w:val="000000"/>
                <w:highlight w:val="none"/>
              </w:rPr>
              <w:t>公司今年各业务板块的展望或指引？</w:t>
            </w:r>
          </w:p>
          <w:p w14:paraId="0F32FE9E">
            <w:pPr>
              <w:pStyle w:val="18"/>
              <w:tabs>
                <w:tab w:val="left" w:pos="462"/>
              </w:tabs>
              <w:ind w:firstLine="482"/>
              <w:rPr>
                <w:rFonts w:hint="eastAsia"/>
                <w:iCs/>
                <w:color w:val="000000"/>
                <w:highlight w:val="none"/>
              </w:rPr>
            </w:pPr>
            <w:r>
              <w:rPr>
                <w:rFonts w:hint="eastAsia"/>
                <w:b/>
                <w:bCs/>
                <w:iCs/>
                <w:color w:val="000000"/>
                <w:highlight w:val="none"/>
              </w:rPr>
              <w:t>A：</w:t>
            </w:r>
            <w:r>
              <w:rPr>
                <w:rFonts w:hint="eastAsia"/>
                <w:iCs/>
                <w:color w:val="000000"/>
                <w:highlight w:val="none"/>
              </w:rPr>
              <w:t>味动力</w:t>
            </w:r>
            <w:r>
              <w:rPr>
                <w:rFonts w:hint="eastAsia"/>
                <w:iCs/>
                <w:color w:val="000000"/>
                <w:highlight w:val="none"/>
                <w:lang w:val="en-US" w:eastAsia="zh-CN"/>
              </w:rPr>
              <w:t>方面，</w:t>
            </w:r>
            <w:r>
              <w:rPr>
                <w:rFonts w:hint="eastAsia"/>
                <w:iCs/>
                <w:color w:val="000000"/>
                <w:highlight w:val="none"/>
              </w:rPr>
              <w:t>聚焦味动力产品的市场推广与渠道深耕，通过优化产品结构与提升终端运营效率，巩固现有市场份额，实现业务规模与盈利水平的稳定发展。</w:t>
            </w:r>
          </w:p>
          <w:p w14:paraId="16625793">
            <w:pPr>
              <w:pStyle w:val="18"/>
              <w:tabs>
                <w:tab w:val="left" w:pos="462"/>
              </w:tabs>
              <w:ind w:firstLine="482"/>
              <w:rPr>
                <w:rFonts w:hint="eastAsia"/>
                <w:iCs/>
                <w:color w:val="000000"/>
                <w:highlight w:val="none"/>
              </w:rPr>
            </w:pPr>
            <w:r>
              <w:rPr>
                <w:rFonts w:hint="eastAsia"/>
                <w:iCs/>
                <w:color w:val="000000"/>
                <w:highlight w:val="none"/>
                <w:lang w:val="en-US" w:eastAsia="zh-CN"/>
              </w:rPr>
              <w:t>益生菌B端，</w:t>
            </w:r>
            <w:r>
              <w:rPr>
                <w:rFonts w:hint="eastAsia"/>
                <w:iCs/>
                <w:color w:val="000000"/>
                <w:highlight w:val="none"/>
              </w:rPr>
              <w:t>依托益生菌技术优势，持续加大研发投入与市场拓展力度，推动核心品类销量增长，进一步释放利润潜力，保持业务的较快增长态势。</w:t>
            </w:r>
          </w:p>
          <w:p w14:paraId="6CBE568B">
            <w:pPr>
              <w:pStyle w:val="18"/>
              <w:tabs>
                <w:tab w:val="left" w:pos="462"/>
              </w:tabs>
              <w:ind w:firstLine="482"/>
              <w:rPr>
                <w:rFonts w:hint="eastAsia"/>
                <w:iCs/>
                <w:color w:val="000000"/>
                <w:highlight w:val="none"/>
              </w:rPr>
            </w:pPr>
            <w:r>
              <w:rPr>
                <w:rFonts w:hint="eastAsia"/>
                <w:iCs/>
                <w:color w:val="000000"/>
                <w:highlight w:val="none"/>
                <w:lang w:val="en-US" w:eastAsia="zh-CN"/>
              </w:rPr>
              <w:t>益生菌</w:t>
            </w:r>
            <w:r>
              <w:rPr>
                <w:rFonts w:hint="eastAsia"/>
                <w:iCs/>
                <w:color w:val="000000"/>
                <w:highlight w:val="none"/>
              </w:rPr>
              <w:t>C端</w:t>
            </w:r>
            <w:r>
              <w:rPr>
                <w:rFonts w:hint="eastAsia"/>
                <w:iCs/>
                <w:color w:val="000000"/>
                <w:highlight w:val="none"/>
                <w:lang w:eastAsia="zh-CN"/>
              </w:rPr>
              <w:t>，</w:t>
            </w:r>
            <w:r>
              <w:rPr>
                <w:rFonts w:hint="eastAsia"/>
                <w:b w:val="0"/>
                <w:bCs w:val="0"/>
                <w:iCs/>
                <w:color w:val="000000"/>
                <w:highlight w:val="none"/>
                <w:lang w:val="en-US" w:eastAsia="zh-CN"/>
              </w:rPr>
              <w:t>由体内三个电商团队推进，其中每日博士品牌进展较快，</w:t>
            </w:r>
            <w:r>
              <w:rPr>
                <w:rFonts w:hint="eastAsia"/>
                <w:iCs/>
                <w:color w:val="000000"/>
                <w:highlight w:val="none"/>
              </w:rPr>
              <w:t>每日博士业务以市场需求为导向，加速产品迭代与品牌建设，提升用户渗透率与单客价值，逐步优化盈利模型，实现盈利水平的持续提升。</w:t>
            </w:r>
            <w:r>
              <w:rPr>
                <w:rFonts w:hint="default"/>
                <w:iCs/>
                <w:color w:val="000000"/>
                <w:highlight w:val="none"/>
              </w:rPr>
              <w:t>体轻松业务聚焦产品优化与渠道精准投放，云商平台强化供应链整合与用户运营，通过降本增效与模式创新，推动自有业务向收支平衡目标迈进，降低整体经营风险。</w:t>
            </w:r>
          </w:p>
          <w:p w14:paraId="410D1537">
            <w:pPr>
              <w:ind w:left="0" w:leftChars="0" w:firstLine="0" w:firstLineChars="0"/>
              <w:rPr>
                <w:rFonts w:hint="eastAsia"/>
                <w:b w:val="0"/>
                <w:bCs w:val="0"/>
                <w:iCs/>
                <w:color w:val="000000"/>
                <w:highlight w:val="none"/>
                <w:lang w:val="en-US" w:eastAsia="zh-CN"/>
              </w:rPr>
            </w:pPr>
            <w:r>
              <w:rPr>
                <w:rFonts w:hint="eastAsia"/>
                <w:b w:val="0"/>
                <w:bCs w:val="0"/>
                <w:iCs/>
                <w:color w:val="000000"/>
                <w:highlight w:val="none"/>
                <w:lang w:val="en-US" w:eastAsia="zh-CN"/>
              </w:rPr>
              <w:t>电商目前收入增长显著，未来电商业务会同步探索线下消费场景。</w:t>
            </w:r>
          </w:p>
          <w:p w14:paraId="22E11755">
            <w:pPr>
              <w:ind w:left="0" w:leftChars="0" w:firstLine="480" w:firstLineChars="200"/>
              <w:rPr>
                <w:rFonts w:hint="eastAsia"/>
                <w:b w:val="0"/>
                <w:bCs w:val="0"/>
                <w:iCs/>
                <w:color w:val="000000"/>
                <w:highlight w:val="none"/>
                <w:lang w:val="en-US" w:eastAsia="zh-CN"/>
              </w:rPr>
            </w:pPr>
            <w:r>
              <w:rPr>
                <w:rFonts w:hint="eastAsia"/>
                <w:b w:val="0"/>
                <w:bCs w:val="0"/>
                <w:iCs/>
                <w:color w:val="000000"/>
                <w:highlight w:val="none"/>
                <w:lang w:val="en-US" w:eastAsia="zh-CN"/>
              </w:rPr>
              <w:t>供应链业务，面临业务转型与资源整合，从传统贸易商向专业化渠道运营商的转型，承接公司低温产品全国零售系统业务，利用其冷链物流与零售系统资源优势，提升低温产品市场渗透率。</w:t>
            </w:r>
          </w:p>
          <w:p w14:paraId="132FE06C">
            <w:pPr>
              <w:ind w:left="0" w:leftChars="0" w:firstLine="0" w:firstLineChars="0"/>
              <w:rPr>
                <w:rFonts w:hint="eastAsia"/>
                <w:b w:val="0"/>
                <w:bCs w:val="0"/>
                <w:iCs/>
                <w:color w:val="000000"/>
                <w:highlight w:val="none"/>
                <w:lang w:val="en-US" w:eastAsia="zh-CN"/>
              </w:rPr>
            </w:pPr>
          </w:p>
        </w:tc>
      </w:tr>
      <w:tr w14:paraId="3C8F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20BEAF95">
            <w:pPr>
              <w:ind w:firstLine="0" w:firstLineChars="0"/>
              <w:rPr>
                <w:bCs/>
                <w:iCs/>
                <w:color w:val="000000"/>
                <w:highlight w:val="none"/>
              </w:rPr>
            </w:pPr>
            <w:r>
              <w:rPr>
                <w:bCs/>
                <w:iCs/>
                <w:color w:val="000000"/>
                <w:highlight w:val="none"/>
              </w:rPr>
              <w:t>附件清单（如有）</w:t>
            </w:r>
          </w:p>
        </w:tc>
        <w:tc>
          <w:tcPr>
            <w:tcW w:w="6859" w:type="dxa"/>
            <w:tcBorders>
              <w:top w:val="single" w:color="auto" w:sz="4" w:space="0"/>
              <w:left w:val="single" w:color="auto" w:sz="4" w:space="0"/>
              <w:bottom w:val="single" w:color="auto" w:sz="4" w:space="0"/>
              <w:right w:val="single" w:color="auto" w:sz="4" w:space="0"/>
            </w:tcBorders>
          </w:tcPr>
          <w:p w14:paraId="4E62BA39">
            <w:pPr>
              <w:spacing w:line="480" w:lineRule="atLeast"/>
              <w:ind w:firstLine="480"/>
              <w:rPr>
                <w:bCs/>
                <w:iCs/>
                <w:color w:val="000000"/>
                <w:highlight w:val="none"/>
              </w:rPr>
            </w:pPr>
          </w:p>
        </w:tc>
      </w:tr>
    </w:tbl>
    <w:p w14:paraId="561BED6F">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304" w:right="1797" w:bottom="1304"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21772">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3955C">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80B4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0017F">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E88A4">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F0B9C">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82C83"/>
    <w:multiLevelType w:val="singleLevel"/>
    <w:tmpl w:val="A2982C83"/>
    <w:lvl w:ilvl="0" w:tentative="0">
      <w:start w:val="8"/>
      <w:numFmt w:val="decimal"/>
      <w:suff w:val="nothing"/>
      <w:lvlText w:val="%1、"/>
      <w:lvlJc w:val="left"/>
      <w:pPr>
        <w:ind w:left="20"/>
      </w:pPr>
    </w:lvl>
  </w:abstractNum>
  <w:abstractNum w:abstractNumId="1">
    <w:nsid w:val="6ECB3E48"/>
    <w:multiLevelType w:val="multilevel"/>
    <w:tmpl w:val="6ECB3E48"/>
    <w:lvl w:ilvl="0" w:tentative="0">
      <w:start w:val="1"/>
      <w:numFmt w:val="japaneseCounting"/>
      <w:lvlText w:val="%1、"/>
      <w:lvlJc w:val="left"/>
      <w:pPr>
        <w:ind w:left="396" w:hanging="39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F422E1"/>
    <w:multiLevelType w:val="multilevel"/>
    <w:tmpl w:val="77F422E1"/>
    <w:lvl w:ilvl="0" w:tentative="0">
      <w:start w:val="1"/>
      <w:numFmt w:val="decimal"/>
      <w:lvlText w:val="%1、"/>
      <w:lvlJc w:val="left"/>
      <w:pPr>
        <w:ind w:left="842" w:hanging="360"/>
      </w:pPr>
      <w:rPr>
        <w:rFonts w:hint="eastAsia"/>
        <w:b/>
        <w:bCs/>
        <w:color w:val="000000" w:themeColor="text1"/>
        <w14:textFill>
          <w14:solidFill>
            <w14:schemeClr w14:val="tx1"/>
          </w14:solidFill>
        </w14:textFill>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0NDI3NTJlZDMyYjQwMGQ1MGJiYjc0OWE2OGU4YmYifQ=="/>
  </w:docVars>
  <w:rsids>
    <w:rsidRoot w:val="00084F2C"/>
    <w:rsid w:val="00001CBC"/>
    <w:rsid w:val="0001073B"/>
    <w:rsid w:val="00014B6D"/>
    <w:rsid w:val="00021890"/>
    <w:rsid w:val="00021B3C"/>
    <w:rsid w:val="00031C3C"/>
    <w:rsid w:val="000352EB"/>
    <w:rsid w:val="00036DDC"/>
    <w:rsid w:val="000372B0"/>
    <w:rsid w:val="000377CD"/>
    <w:rsid w:val="000441BF"/>
    <w:rsid w:val="00052EC6"/>
    <w:rsid w:val="00057ACE"/>
    <w:rsid w:val="00063866"/>
    <w:rsid w:val="000651FA"/>
    <w:rsid w:val="00073AC8"/>
    <w:rsid w:val="00077630"/>
    <w:rsid w:val="00081BEF"/>
    <w:rsid w:val="00084F2C"/>
    <w:rsid w:val="00091C67"/>
    <w:rsid w:val="00094CEC"/>
    <w:rsid w:val="00097A04"/>
    <w:rsid w:val="000A44E4"/>
    <w:rsid w:val="000A56C4"/>
    <w:rsid w:val="000B2B5A"/>
    <w:rsid w:val="000C0E70"/>
    <w:rsid w:val="000C20C0"/>
    <w:rsid w:val="000C33A3"/>
    <w:rsid w:val="000C37C5"/>
    <w:rsid w:val="000C3D57"/>
    <w:rsid w:val="000C46DF"/>
    <w:rsid w:val="000D207A"/>
    <w:rsid w:val="000D4D3B"/>
    <w:rsid w:val="000E7295"/>
    <w:rsid w:val="000F476A"/>
    <w:rsid w:val="001059AE"/>
    <w:rsid w:val="00110E7D"/>
    <w:rsid w:val="00127912"/>
    <w:rsid w:val="001358B9"/>
    <w:rsid w:val="00140C04"/>
    <w:rsid w:val="00146610"/>
    <w:rsid w:val="00151112"/>
    <w:rsid w:val="0015561F"/>
    <w:rsid w:val="00156A1D"/>
    <w:rsid w:val="001618A3"/>
    <w:rsid w:val="00166122"/>
    <w:rsid w:val="00167860"/>
    <w:rsid w:val="001749C5"/>
    <w:rsid w:val="00176DC1"/>
    <w:rsid w:val="001770B9"/>
    <w:rsid w:val="0018618C"/>
    <w:rsid w:val="00191F63"/>
    <w:rsid w:val="001B07AF"/>
    <w:rsid w:val="001B3AC5"/>
    <w:rsid w:val="001B45AB"/>
    <w:rsid w:val="001B4B8D"/>
    <w:rsid w:val="001C45E1"/>
    <w:rsid w:val="001E035F"/>
    <w:rsid w:val="001E2303"/>
    <w:rsid w:val="00210A61"/>
    <w:rsid w:val="00211FF4"/>
    <w:rsid w:val="002137E1"/>
    <w:rsid w:val="002148DC"/>
    <w:rsid w:val="0021611F"/>
    <w:rsid w:val="00216AC0"/>
    <w:rsid w:val="00216BEC"/>
    <w:rsid w:val="00217898"/>
    <w:rsid w:val="00217F01"/>
    <w:rsid w:val="00223D42"/>
    <w:rsid w:val="0022479A"/>
    <w:rsid w:val="002308D2"/>
    <w:rsid w:val="00230EC6"/>
    <w:rsid w:val="002322C7"/>
    <w:rsid w:val="00236D81"/>
    <w:rsid w:val="00240F43"/>
    <w:rsid w:val="002430D3"/>
    <w:rsid w:val="0024589F"/>
    <w:rsid w:val="00250B1C"/>
    <w:rsid w:val="00254F21"/>
    <w:rsid w:val="00260CB5"/>
    <w:rsid w:val="00261B15"/>
    <w:rsid w:val="00261F38"/>
    <w:rsid w:val="00263EF0"/>
    <w:rsid w:val="00267F08"/>
    <w:rsid w:val="00267F4E"/>
    <w:rsid w:val="002700FD"/>
    <w:rsid w:val="00275A8F"/>
    <w:rsid w:val="00277CB6"/>
    <w:rsid w:val="0028791E"/>
    <w:rsid w:val="002906E5"/>
    <w:rsid w:val="00293B51"/>
    <w:rsid w:val="002A0DC6"/>
    <w:rsid w:val="002B365A"/>
    <w:rsid w:val="002B7808"/>
    <w:rsid w:val="002C61DC"/>
    <w:rsid w:val="002E59F7"/>
    <w:rsid w:val="002F1373"/>
    <w:rsid w:val="002F3C3C"/>
    <w:rsid w:val="002F69F0"/>
    <w:rsid w:val="00300676"/>
    <w:rsid w:val="00303FD7"/>
    <w:rsid w:val="003053CA"/>
    <w:rsid w:val="00307D54"/>
    <w:rsid w:val="0031351F"/>
    <w:rsid w:val="00324026"/>
    <w:rsid w:val="00327184"/>
    <w:rsid w:val="0033523D"/>
    <w:rsid w:val="003378E6"/>
    <w:rsid w:val="0034209A"/>
    <w:rsid w:val="0034681C"/>
    <w:rsid w:val="00346C42"/>
    <w:rsid w:val="00350F53"/>
    <w:rsid w:val="00361A7D"/>
    <w:rsid w:val="00371E87"/>
    <w:rsid w:val="00372343"/>
    <w:rsid w:val="00382FDC"/>
    <w:rsid w:val="0039791B"/>
    <w:rsid w:val="003A7539"/>
    <w:rsid w:val="003B09A4"/>
    <w:rsid w:val="003B32DA"/>
    <w:rsid w:val="003B4FF6"/>
    <w:rsid w:val="003D023F"/>
    <w:rsid w:val="003D19D8"/>
    <w:rsid w:val="003E2D86"/>
    <w:rsid w:val="003F1A52"/>
    <w:rsid w:val="003F4ACD"/>
    <w:rsid w:val="00401079"/>
    <w:rsid w:val="00403789"/>
    <w:rsid w:val="00404338"/>
    <w:rsid w:val="00407621"/>
    <w:rsid w:val="00407F3A"/>
    <w:rsid w:val="00410604"/>
    <w:rsid w:val="00411D83"/>
    <w:rsid w:val="00413449"/>
    <w:rsid w:val="00422FAE"/>
    <w:rsid w:val="00424FF7"/>
    <w:rsid w:val="004274BF"/>
    <w:rsid w:val="00427E4C"/>
    <w:rsid w:val="004349B7"/>
    <w:rsid w:val="00447095"/>
    <w:rsid w:val="004545DA"/>
    <w:rsid w:val="00487EFF"/>
    <w:rsid w:val="00490B57"/>
    <w:rsid w:val="00491251"/>
    <w:rsid w:val="00494643"/>
    <w:rsid w:val="004979AF"/>
    <w:rsid w:val="004B0349"/>
    <w:rsid w:val="004B3CD5"/>
    <w:rsid w:val="004C2E2B"/>
    <w:rsid w:val="004D3830"/>
    <w:rsid w:val="004D3A97"/>
    <w:rsid w:val="004D7AC6"/>
    <w:rsid w:val="004E45ED"/>
    <w:rsid w:val="004E59E2"/>
    <w:rsid w:val="004F00AC"/>
    <w:rsid w:val="0050527B"/>
    <w:rsid w:val="00517BAD"/>
    <w:rsid w:val="00521E7E"/>
    <w:rsid w:val="005228C4"/>
    <w:rsid w:val="00523372"/>
    <w:rsid w:val="005238EE"/>
    <w:rsid w:val="00524815"/>
    <w:rsid w:val="00527728"/>
    <w:rsid w:val="00530DB9"/>
    <w:rsid w:val="005371BC"/>
    <w:rsid w:val="00541B5F"/>
    <w:rsid w:val="00543ED1"/>
    <w:rsid w:val="0055069A"/>
    <w:rsid w:val="00562AB0"/>
    <w:rsid w:val="00565704"/>
    <w:rsid w:val="00570026"/>
    <w:rsid w:val="0057603A"/>
    <w:rsid w:val="00580BA2"/>
    <w:rsid w:val="00580FF4"/>
    <w:rsid w:val="005820D8"/>
    <w:rsid w:val="005862D7"/>
    <w:rsid w:val="005879FF"/>
    <w:rsid w:val="005907B8"/>
    <w:rsid w:val="0059415F"/>
    <w:rsid w:val="00597893"/>
    <w:rsid w:val="005A447B"/>
    <w:rsid w:val="005A455B"/>
    <w:rsid w:val="005A7609"/>
    <w:rsid w:val="005B1E3E"/>
    <w:rsid w:val="005B57E0"/>
    <w:rsid w:val="005C624F"/>
    <w:rsid w:val="005D0B39"/>
    <w:rsid w:val="005D6E99"/>
    <w:rsid w:val="005E18EC"/>
    <w:rsid w:val="005E7783"/>
    <w:rsid w:val="00601DDD"/>
    <w:rsid w:val="006054B1"/>
    <w:rsid w:val="0060553B"/>
    <w:rsid w:val="00615F8E"/>
    <w:rsid w:val="00625E5D"/>
    <w:rsid w:val="00634E33"/>
    <w:rsid w:val="006443D3"/>
    <w:rsid w:val="00646F2E"/>
    <w:rsid w:val="006472B8"/>
    <w:rsid w:val="00647899"/>
    <w:rsid w:val="006523CF"/>
    <w:rsid w:val="00664935"/>
    <w:rsid w:val="00665708"/>
    <w:rsid w:val="006850BC"/>
    <w:rsid w:val="00686E28"/>
    <w:rsid w:val="00691096"/>
    <w:rsid w:val="00692200"/>
    <w:rsid w:val="006A0D14"/>
    <w:rsid w:val="006A132A"/>
    <w:rsid w:val="006A1AD3"/>
    <w:rsid w:val="006A7E2C"/>
    <w:rsid w:val="006B3AEF"/>
    <w:rsid w:val="006C2229"/>
    <w:rsid w:val="006C6349"/>
    <w:rsid w:val="006C655D"/>
    <w:rsid w:val="006D1E0D"/>
    <w:rsid w:val="006D5489"/>
    <w:rsid w:val="006E64EE"/>
    <w:rsid w:val="006E7A55"/>
    <w:rsid w:val="006F12C8"/>
    <w:rsid w:val="006F319A"/>
    <w:rsid w:val="006F4584"/>
    <w:rsid w:val="006F700D"/>
    <w:rsid w:val="006F7102"/>
    <w:rsid w:val="0070273B"/>
    <w:rsid w:val="00702A89"/>
    <w:rsid w:val="0070451C"/>
    <w:rsid w:val="0071445C"/>
    <w:rsid w:val="00743470"/>
    <w:rsid w:val="00745456"/>
    <w:rsid w:val="007474BB"/>
    <w:rsid w:val="00747517"/>
    <w:rsid w:val="007506A5"/>
    <w:rsid w:val="00752783"/>
    <w:rsid w:val="00767EA5"/>
    <w:rsid w:val="00770B00"/>
    <w:rsid w:val="0077151A"/>
    <w:rsid w:val="00773EA8"/>
    <w:rsid w:val="0078601C"/>
    <w:rsid w:val="00790954"/>
    <w:rsid w:val="007A03A8"/>
    <w:rsid w:val="007A3346"/>
    <w:rsid w:val="007A60D8"/>
    <w:rsid w:val="007B74E1"/>
    <w:rsid w:val="007D0BD7"/>
    <w:rsid w:val="007D200D"/>
    <w:rsid w:val="007D2FC6"/>
    <w:rsid w:val="007D30E6"/>
    <w:rsid w:val="007E3473"/>
    <w:rsid w:val="007E508A"/>
    <w:rsid w:val="007E559E"/>
    <w:rsid w:val="007F26B6"/>
    <w:rsid w:val="007F38B0"/>
    <w:rsid w:val="007F398C"/>
    <w:rsid w:val="007F697F"/>
    <w:rsid w:val="00813F62"/>
    <w:rsid w:val="00814C6A"/>
    <w:rsid w:val="008150FB"/>
    <w:rsid w:val="00815104"/>
    <w:rsid w:val="00816C66"/>
    <w:rsid w:val="00822949"/>
    <w:rsid w:val="00826434"/>
    <w:rsid w:val="00830F62"/>
    <w:rsid w:val="00834DFC"/>
    <w:rsid w:val="00841A72"/>
    <w:rsid w:val="00845315"/>
    <w:rsid w:val="00850E94"/>
    <w:rsid w:val="00860CC1"/>
    <w:rsid w:val="00863156"/>
    <w:rsid w:val="008659E4"/>
    <w:rsid w:val="00867B21"/>
    <w:rsid w:val="0087133E"/>
    <w:rsid w:val="00882929"/>
    <w:rsid w:val="008959FE"/>
    <w:rsid w:val="008A05BE"/>
    <w:rsid w:val="008A4B0B"/>
    <w:rsid w:val="008A71F9"/>
    <w:rsid w:val="008D22FB"/>
    <w:rsid w:val="008D3C48"/>
    <w:rsid w:val="008E13B2"/>
    <w:rsid w:val="008E16F2"/>
    <w:rsid w:val="008E6536"/>
    <w:rsid w:val="008F14F8"/>
    <w:rsid w:val="008F2B28"/>
    <w:rsid w:val="008F2DA5"/>
    <w:rsid w:val="008F56D8"/>
    <w:rsid w:val="009174E1"/>
    <w:rsid w:val="00920E49"/>
    <w:rsid w:val="0092394A"/>
    <w:rsid w:val="009240CE"/>
    <w:rsid w:val="009321B3"/>
    <w:rsid w:val="00932231"/>
    <w:rsid w:val="00932A46"/>
    <w:rsid w:val="0093743A"/>
    <w:rsid w:val="00947FE4"/>
    <w:rsid w:val="009519C6"/>
    <w:rsid w:val="00956CB0"/>
    <w:rsid w:val="00956FED"/>
    <w:rsid w:val="00966022"/>
    <w:rsid w:val="0097677A"/>
    <w:rsid w:val="00987765"/>
    <w:rsid w:val="009959D7"/>
    <w:rsid w:val="0099763F"/>
    <w:rsid w:val="009A198B"/>
    <w:rsid w:val="009A1C3B"/>
    <w:rsid w:val="009B2DC9"/>
    <w:rsid w:val="009B5720"/>
    <w:rsid w:val="009B645C"/>
    <w:rsid w:val="009C65E1"/>
    <w:rsid w:val="009D13E4"/>
    <w:rsid w:val="009E18EA"/>
    <w:rsid w:val="009E22EF"/>
    <w:rsid w:val="009E2BDF"/>
    <w:rsid w:val="009E492B"/>
    <w:rsid w:val="009F0E76"/>
    <w:rsid w:val="00A05538"/>
    <w:rsid w:val="00A15357"/>
    <w:rsid w:val="00A17473"/>
    <w:rsid w:val="00A23A96"/>
    <w:rsid w:val="00A251BF"/>
    <w:rsid w:val="00A32380"/>
    <w:rsid w:val="00A32401"/>
    <w:rsid w:val="00A51850"/>
    <w:rsid w:val="00A536D1"/>
    <w:rsid w:val="00A609ED"/>
    <w:rsid w:val="00A65CCD"/>
    <w:rsid w:val="00A67F3E"/>
    <w:rsid w:val="00A73F2E"/>
    <w:rsid w:val="00A74949"/>
    <w:rsid w:val="00A812FD"/>
    <w:rsid w:val="00A84AE4"/>
    <w:rsid w:val="00AA41B1"/>
    <w:rsid w:val="00AA76C7"/>
    <w:rsid w:val="00AC5D07"/>
    <w:rsid w:val="00AC71AC"/>
    <w:rsid w:val="00AC72E5"/>
    <w:rsid w:val="00AD6E89"/>
    <w:rsid w:val="00AE05DA"/>
    <w:rsid w:val="00AE5BF9"/>
    <w:rsid w:val="00AF1CFE"/>
    <w:rsid w:val="00AF66E8"/>
    <w:rsid w:val="00B06799"/>
    <w:rsid w:val="00B077CA"/>
    <w:rsid w:val="00B078CD"/>
    <w:rsid w:val="00B117E8"/>
    <w:rsid w:val="00B13E91"/>
    <w:rsid w:val="00B2003E"/>
    <w:rsid w:val="00B2044E"/>
    <w:rsid w:val="00B20B70"/>
    <w:rsid w:val="00B22DF0"/>
    <w:rsid w:val="00B23014"/>
    <w:rsid w:val="00B368C4"/>
    <w:rsid w:val="00B43130"/>
    <w:rsid w:val="00B45E9F"/>
    <w:rsid w:val="00B469F8"/>
    <w:rsid w:val="00B52D0D"/>
    <w:rsid w:val="00B66B06"/>
    <w:rsid w:val="00B777FE"/>
    <w:rsid w:val="00B82AA0"/>
    <w:rsid w:val="00B85CA8"/>
    <w:rsid w:val="00B87470"/>
    <w:rsid w:val="00B91E36"/>
    <w:rsid w:val="00B948E2"/>
    <w:rsid w:val="00B965CC"/>
    <w:rsid w:val="00BA7426"/>
    <w:rsid w:val="00BB40EB"/>
    <w:rsid w:val="00BB579F"/>
    <w:rsid w:val="00BC23FE"/>
    <w:rsid w:val="00BC2712"/>
    <w:rsid w:val="00BD1509"/>
    <w:rsid w:val="00BE5B68"/>
    <w:rsid w:val="00C0041D"/>
    <w:rsid w:val="00C02E26"/>
    <w:rsid w:val="00C12A4B"/>
    <w:rsid w:val="00C22B53"/>
    <w:rsid w:val="00C24C02"/>
    <w:rsid w:val="00C267CD"/>
    <w:rsid w:val="00C27928"/>
    <w:rsid w:val="00C27AA0"/>
    <w:rsid w:val="00C40FCD"/>
    <w:rsid w:val="00C4183E"/>
    <w:rsid w:val="00C56D35"/>
    <w:rsid w:val="00C8048F"/>
    <w:rsid w:val="00C86C9D"/>
    <w:rsid w:val="00C904BA"/>
    <w:rsid w:val="00C91F00"/>
    <w:rsid w:val="00CA506E"/>
    <w:rsid w:val="00CB0988"/>
    <w:rsid w:val="00CB5DD9"/>
    <w:rsid w:val="00CC3BD4"/>
    <w:rsid w:val="00CC5775"/>
    <w:rsid w:val="00CE2DD9"/>
    <w:rsid w:val="00CE5600"/>
    <w:rsid w:val="00CF4AF5"/>
    <w:rsid w:val="00D21A8F"/>
    <w:rsid w:val="00D274D9"/>
    <w:rsid w:val="00D32C35"/>
    <w:rsid w:val="00D45042"/>
    <w:rsid w:val="00D5688F"/>
    <w:rsid w:val="00D56C57"/>
    <w:rsid w:val="00D6010D"/>
    <w:rsid w:val="00D6121B"/>
    <w:rsid w:val="00D61969"/>
    <w:rsid w:val="00D653DC"/>
    <w:rsid w:val="00D72395"/>
    <w:rsid w:val="00D73BD5"/>
    <w:rsid w:val="00D74531"/>
    <w:rsid w:val="00D77555"/>
    <w:rsid w:val="00D77869"/>
    <w:rsid w:val="00D77D70"/>
    <w:rsid w:val="00D84984"/>
    <w:rsid w:val="00D91173"/>
    <w:rsid w:val="00D96F5E"/>
    <w:rsid w:val="00DA1D5C"/>
    <w:rsid w:val="00DA3062"/>
    <w:rsid w:val="00DA3A8E"/>
    <w:rsid w:val="00DB2245"/>
    <w:rsid w:val="00DB791E"/>
    <w:rsid w:val="00DD1683"/>
    <w:rsid w:val="00DD4EF9"/>
    <w:rsid w:val="00DE0F72"/>
    <w:rsid w:val="00DE1CB3"/>
    <w:rsid w:val="00DE7051"/>
    <w:rsid w:val="00DF3130"/>
    <w:rsid w:val="00DF3691"/>
    <w:rsid w:val="00E03298"/>
    <w:rsid w:val="00E04886"/>
    <w:rsid w:val="00E07F32"/>
    <w:rsid w:val="00E15B48"/>
    <w:rsid w:val="00E1681E"/>
    <w:rsid w:val="00E17CF2"/>
    <w:rsid w:val="00E200E0"/>
    <w:rsid w:val="00E226A7"/>
    <w:rsid w:val="00E23B0C"/>
    <w:rsid w:val="00E27CD9"/>
    <w:rsid w:val="00E30054"/>
    <w:rsid w:val="00E30DAE"/>
    <w:rsid w:val="00E4211C"/>
    <w:rsid w:val="00E6543F"/>
    <w:rsid w:val="00E71F0B"/>
    <w:rsid w:val="00E82FFC"/>
    <w:rsid w:val="00E83B9F"/>
    <w:rsid w:val="00E8542A"/>
    <w:rsid w:val="00E91974"/>
    <w:rsid w:val="00E96D10"/>
    <w:rsid w:val="00E97645"/>
    <w:rsid w:val="00EA0EBF"/>
    <w:rsid w:val="00EA2D59"/>
    <w:rsid w:val="00EA7737"/>
    <w:rsid w:val="00EB6D8B"/>
    <w:rsid w:val="00EC0BB4"/>
    <w:rsid w:val="00EC2EED"/>
    <w:rsid w:val="00EC6707"/>
    <w:rsid w:val="00EC7367"/>
    <w:rsid w:val="00ED0F44"/>
    <w:rsid w:val="00ED1EEB"/>
    <w:rsid w:val="00EE0118"/>
    <w:rsid w:val="00EE2795"/>
    <w:rsid w:val="00EE3A6C"/>
    <w:rsid w:val="00EF3C20"/>
    <w:rsid w:val="00EF514E"/>
    <w:rsid w:val="00EF564D"/>
    <w:rsid w:val="00F027DD"/>
    <w:rsid w:val="00F0607A"/>
    <w:rsid w:val="00F062FD"/>
    <w:rsid w:val="00F07C33"/>
    <w:rsid w:val="00F16201"/>
    <w:rsid w:val="00F17E36"/>
    <w:rsid w:val="00F20F2C"/>
    <w:rsid w:val="00F2782E"/>
    <w:rsid w:val="00F338B6"/>
    <w:rsid w:val="00F367F2"/>
    <w:rsid w:val="00F42785"/>
    <w:rsid w:val="00F451C5"/>
    <w:rsid w:val="00F60837"/>
    <w:rsid w:val="00F63ABD"/>
    <w:rsid w:val="00F73320"/>
    <w:rsid w:val="00F858E9"/>
    <w:rsid w:val="00F94D06"/>
    <w:rsid w:val="00FB4910"/>
    <w:rsid w:val="00FC546B"/>
    <w:rsid w:val="00FC6BD6"/>
    <w:rsid w:val="00FD4768"/>
    <w:rsid w:val="00FD499A"/>
    <w:rsid w:val="00FE2DBD"/>
    <w:rsid w:val="00FE4193"/>
    <w:rsid w:val="00FF2529"/>
    <w:rsid w:val="013637D1"/>
    <w:rsid w:val="014C783A"/>
    <w:rsid w:val="041D2A27"/>
    <w:rsid w:val="044B0BB3"/>
    <w:rsid w:val="04FC007E"/>
    <w:rsid w:val="0543026B"/>
    <w:rsid w:val="05573D16"/>
    <w:rsid w:val="06840B3B"/>
    <w:rsid w:val="06B37672"/>
    <w:rsid w:val="06EC66E0"/>
    <w:rsid w:val="07683FB9"/>
    <w:rsid w:val="07DD40F6"/>
    <w:rsid w:val="08B1373D"/>
    <w:rsid w:val="08E12275"/>
    <w:rsid w:val="0A762E91"/>
    <w:rsid w:val="0A8E01DA"/>
    <w:rsid w:val="0A923284"/>
    <w:rsid w:val="0A9D21CB"/>
    <w:rsid w:val="0BA23811"/>
    <w:rsid w:val="0C032502"/>
    <w:rsid w:val="0C160487"/>
    <w:rsid w:val="0D8E229F"/>
    <w:rsid w:val="0DE6751E"/>
    <w:rsid w:val="0F0F7410"/>
    <w:rsid w:val="0FB75ADD"/>
    <w:rsid w:val="0FC63F72"/>
    <w:rsid w:val="106043C7"/>
    <w:rsid w:val="108720BF"/>
    <w:rsid w:val="10B63FE7"/>
    <w:rsid w:val="11360C84"/>
    <w:rsid w:val="11621A79"/>
    <w:rsid w:val="121A2353"/>
    <w:rsid w:val="126A4CCD"/>
    <w:rsid w:val="12CF6026"/>
    <w:rsid w:val="12DF75A8"/>
    <w:rsid w:val="1369653F"/>
    <w:rsid w:val="15595889"/>
    <w:rsid w:val="15AE1730"/>
    <w:rsid w:val="162E461F"/>
    <w:rsid w:val="16B20004"/>
    <w:rsid w:val="16D93C5D"/>
    <w:rsid w:val="17155AED"/>
    <w:rsid w:val="17683B61"/>
    <w:rsid w:val="17BD3EAD"/>
    <w:rsid w:val="18492666"/>
    <w:rsid w:val="185A794E"/>
    <w:rsid w:val="18D45952"/>
    <w:rsid w:val="191E4E1F"/>
    <w:rsid w:val="192B3098"/>
    <w:rsid w:val="19581961"/>
    <w:rsid w:val="19601BE2"/>
    <w:rsid w:val="1A6A7BF0"/>
    <w:rsid w:val="1ADC6D40"/>
    <w:rsid w:val="1B302BE8"/>
    <w:rsid w:val="1B486183"/>
    <w:rsid w:val="1BDE43F2"/>
    <w:rsid w:val="1BEA3633"/>
    <w:rsid w:val="1C694603"/>
    <w:rsid w:val="1CE27F12"/>
    <w:rsid w:val="1D0936F0"/>
    <w:rsid w:val="1DB95116"/>
    <w:rsid w:val="1DE32193"/>
    <w:rsid w:val="1E4C5F8A"/>
    <w:rsid w:val="1F0E3240"/>
    <w:rsid w:val="1F220A99"/>
    <w:rsid w:val="1F3D58D3"/>
    <w:rsid w:val="1FE4496A"/>
    <w:rsid w:val="20016901"/>
    <w:rsid w:val="20FF5536"/>
    <w:rsid w:val="22260612"/>
    <w:rsid w:val="22BE4F7D"/>
    <w:rsid w:val="2366189C"/>
    <w:rsid w:val="2403533D"/>
    <w:rsid w:val="24C90335"/>
    <w:rsid w:val="24EF5C02"/>
    <w:rsid w:val="256242E5"/>
    <w:rsid w:val="26154EB4"/>
    <w:rsid w:val="2714160F"/>
    <w:rsid w:val="277F13CF"/>
    <w:rsid w:val="27943AC7"/>
    <w:rsid w:val="28481571"/>
    <w:rsid w:val="285E4FCC"/>
    <w:rsid w:val="28A703BF"/>
    <w:rsid w:val="29736AC1"/>
    <w:rsid w:val="29F51284"/>
    <w:rsid w:val="2A0E2346"/>
    <w:rsid w:val="2A8F5E5D"/>
    <w:rsid w:val="2B0F6376"/>
    <w:rsid w:val="2B944ACD"/>
    <w:rsid w:val="2C1874AC"/>
    <w:rsid w:val="2C251BC9"/>
    <w:rsid w:val="2DFC020A"/>
    <w:rsid w:val="2E00644A"/>
    <w:rsid w:val="2F8C7AEC"/>
    <w:rsid w:val="31280191"/>
    <w:rsid w:val="31E85B72"/>
    <w:rsid w:val="32244DFC"/>
    <w:rsid w:val="3258427A"/>
    <w:rsid w:val="325925CC"/>
    <w:rsid w:val="32981347"/>
    <w:rsid w:val="33274478"/>
    <w:rsid w:val="335C4122"/>
    <w:rsid w:val="33835B53"/>
    <w:rsid w:val="33F26834"/>
    <w:rsid w:val="34B00BC9"/>
    <w:rsid w:val="34CF6B76"/>
    <w:rsid w:val="355754E9"/>
    <w:rsid w:val="360A473D"/>
    <w:rsid w:val="375C6562"/>
    <w:rsid w:val="38080D1C"/>
    <w:rsid w:val="38082ACA"/>
    <w:rsid w:val="38B62526"/>
    <w:rsid w:val="391159AF"/>
    <w:rsid w:val="398E6FFF"/>
    <w:rsid w:val="39F07CBA"/>
    <w:rsid w:val="3B4E4C98"/>
    <w:rsid w:val="3B7364AD"/>
    <w:rsid w:val="3C371BD0"/>
    <w:rsid w:val="3C964B49"/>
    <w:rsid w:val="3E133F77"/>
    <w:rsid w:val="3E730B9E"/>
    <w:rsid w:val="3EAD1CD6"/>
    <w:rsid w:val="3F285800"/>
    <w:rsid w:val="3FDD2A8F"/>
    <w:rsid w:val="40092958"/>
    <w:rsid w:val="403F208D"/>
    <w:rsid w:val="40730CFD"/>
    <w:rsid w:val="40BC7839"/>
    <w:rsid w:val="413761CE"/>
    <w:rsid w:val="41EC6FB9"/>
    <w:rsid w:val="42156510"/>
    <w:rsid w:val="423B2E21"/>
    <w:rsid w:val="42424E2B"/>
    <w:rsid w:val="42756FAE"/>
    <w:rsid w:val="42A67168"/>
    <w:rsid w:val="43B65AD0"/>
    <w:rsid w:val="456B6447"/>
    <w:rsid w:val="45DB537A"/>
    <w:rsid w:val="46686C15"/>
    <w:rsid w:val="47462CC7"/>
    <w:rsid w:val="476A10AC"/>
    <w:rsid w:val="47B265AF"/>
    <w:rsid w:val="47D12ED9"/>
    <w:rsid w:val="47D97FDF"/>
    <w:rsid w:val="49831FB1"/>
    <w:rsid w:val="49B108F4"/>
    <w:rsid w:val="49D56585"/>
    <w:rsid w:val="4A130C33"/>
    <w:rsid w:val="4A3B6D2F"/>
    <w:rsid w:val="4B647BC0"/>
    <w:rsid w:val="4B7324F9"/>
    <w:rsid w:val="4BE41453"/>
    <w:rsid w:val="4BF453E8"/>
    <w:rsid w:val="4CA50490"/>
    <w:rsid w:val="4D3629A5"/>
    <w:rsid w:val="4E880069"/>
    <w:rsid w:val="4F2A2ECF"/>
    <w:rsid w:val="4F587A3C"/>
    <w:rsid w:val="4FAB400F"/>
    <w:rsid w:val="50D91050"/>
    <w:rsid w:val="5176064D"/>
    <w:rsid w:val="51EC090F"/>
    <w:rsid w:val="528B1ED6"/>
    <w:rsid w:val="530A54F1"/>
    <w:rsid w:val="53740BBC"/>
    <w:rsid w:val="53E45D42"/>
    <w:rsid w:val="54C2380D"/>
    <w:rsid w:val="54C47921"/>
    <w:rsid w:val="550C37A2"/>
    <w:rsid w:val="56586573"/>
    <w:rsid w:val="575136EE"/>
    <w:rsid w:val="575B456D"/>
    <w:rsid w:val="577473DD"/>
    <w:rsid w:val="57AE6D93"/>
    <w:rsid w:val="588673C8"/>
    <w:rsid w:val="59926240"/>
    <w:rsid w:val="5B2829B8"/>
    <w:rsid w:val="5C935747"/>
    <w:rsid w:val="5F487ACD"/>
    <w:rsid w:val="610C68D8"/>
    <w:rsid w:val="61113EEE"/>
    <w:rsid w:val="612C2AD6"/>
    <w:rsid w:val="61D513C0"/>
    <w:rsid w:val="62621EBF"/>
    <w:rsid w:val="63464323"/>
    <w:rsid w:val="634C3904"/>
    <w:rsid w:val="63844520"/>
    <w:rsid w:val="63BE035D"/>
    <w:rsid w:val="642F3266"/>
    <w:rsid w:val="64803865"/>
    <w:rsid w:val="64992B79"/>
    <w:rsid w:val="655F791E"/>
    <w:rsid w:val="656F7435"/>
    <w:rsid w:val="65B55790"/>
    <w:rsid w:val="65F20792"/>
    <w:rsid w:val="660B1854"/>
    <w:rsid w:val="660D737A"/>
    <w:rsid w:val="66C537B1"/>
    <w:rsid w:val="66F978FF"/>
    <w:rsid w:val="672901E4"/>
    <w:rsid w:val="675863D3"/>
    <w:rsid w:val="675E02F4"/>
    <w:rsid w:val="68356714"/>
    <w:rsid w:val="6905258B"/>
    <w:rsid w:val="6938470E"/>
    <w:rsid w:val="69635503"/>
    <w:rsid w:val="69AA4EE0"/>
    <w:rsid w:val="6A4C5F97"/>
    <w:rsid w:val="6A616842"/>
    <w:rsid w:val="6A6B28C1"/>
    <w:rsid w:val="6A7379C8"/>
    <w:rsid w:val="6C1256EA"/>
    <w:rsid w:val="6C5D623A"/>
    <w:rsid w:val="6C6855CC"/>
    <w:rsid w:val="6CC85DA9"/>
    <w:rsid w:val="6DCF760B"/>
    <w:rsid w:val="6E753D0F"/>
    <w:rsid w:val="6EBE3907"/>
    <w:rsid w:val="6F084B83"/>
    <w:rsid w:val="6F946416"/>
    <w:rsid w:val="6FD42CB7"/>
    <w:rsid w:val="70A76930"/>
    <w:rsid w:val="70AB3A18"/>
    <w:rsid w:val="71630796"/>
    <w:rsid w:val="71635E8C"/>
    <w:rsid w:val="718D5813"/>
    <w:rsid w:val="71E511AB"/>
    <w:rsid w:val="72563E57"/>
    <w:rsid w:val="72BB015E"/>
    <w:rsid w:val="730E64E0"/>
    <w:rsid w:val="73FE6554"/>
    <w:rsid w:val="743B3F87"/>
    <w:rsid w:val="74A72748"/>
    <w:rsid w:val="750B0AE0"/>
    <w:rsid w:val="75A80A90"/>
    <w:rsid w:val="75E55C1E"/>
    <w:rsid w:val="76962A74"/>
    <w:rsid w:val="776C1A0A"/>
    <w:rsid w:val="77A80CB1"/>
    <w:rsid w:val="79752E15"/>
    <w:rsid w:val="7A6D4434"/>
    <w:rsid w:val="7ABE4C8F"/>
    <w:rsid w:val="7AF67F85"/>
    <w:rsid w:val="7B4A02D1"/>
    <w:rsid w:val="7BD77DB7"/>
    <w:rsid w:val="7BD83B2F"/>
    <w:rsid w:val="7C1E3C37"/>
    <w:rsid w:val="7CCC2C75"/>
    <w:rsid w:val="7D255942"/>
    <w:rsid w:val="7D494CE4"/>
    <w:rsid w:val="7E1D3D33"/>
    <w:rsid w:val="7E5C27F5"/>
    <w:rsid w:val="7F062761"/>
    <w:rsid w:val="7F10538E"/>
    <w:rsid w:val="7FA3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link w:val="27"/>
    <w:qFormat/>
    <w:uiPriority w:val="9"/>
    <w:pPr>
      <w:widowControl/>
      <w:spacing w:before="100" w:beforeAutospacing="1" w:after="100" w:afterAutospacing="1" w:line="240" w:lineRule="auto"/>
      <w:ind w:firstLine="0" w:firstLineChars="0"/>
      <w:jc w:val="left"/>
      <w:outlineLvl w:val="0"/>
    </w:pPr>
    <w:rPr>
      <w:rFonts w:ascii="宋体" w:hAnsi="宋体" w:cs="宋体"/>
      <w:b/>
      <w:bCs/>
      <w:kern w:val="36"/>
      <w:sz w:val="48"/>
      <w:szCs w:val="48"/>
    </w:rPr>
  </w:style>
  <w:style w:type="paragraph" w:styleId="3">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alloon Text"/>
    <w:basedOn w:val="1"/>
    <w:link w:val="19"/>
    <w:semiHidden/>
    <w:unhideWhenUsed/>
    <w:qFormat/>
    <w:uiPriority w:val="99"/>
    <w:pPr>
      <w:spacing w:line="240" w:lineRule="auto"/>
    </w:pPr>
    <w:rPr>
      <w:sz w:val="18"/>
      <w:szCs w:val="18"/>
    </w:rPr>
  </w:style>
  <w:style w:type="paragraph" w:styleId="6">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HTML Preformatted"/>
    <w:basedOn w:val="1"/>
    <w:link w:val="30"/>
    <w:semiHidden/>
    <w:unhideWhenUsed/>
    <w:qFormat/>
    <w:uiPriority w:val="99"/>
    <w:rPr>
      <w:rFonts w:ascii="Courier New" w:hAnsi="Courier New" w:cs="Courier New"/>
      <w:sz w:val="20"/>
      <w:szCs w:val="20"/>
    </w:rPr>
  </w:style>
  <w:style w:type="paragraph" w:styleId="9">
    <w:name w:val="Normal (Web)"/>
    <w:basedOn w:val="1"/>
    <w:unhideWhenUsed/>
    <w:qFormat/>
    <w:uiPriority w:val="99"/>
    <w:pPr>
      <w:widowControl/>
      <w:spacing w:beforeAutospacing="1" w:afterAutospacing="1"/>
      <w:jc w:val="left"/>
    </w:pPr>
    <w:rPr>
      <w:rFonts w:hint="eastAsia" w:ascii="宋体" w:hAnsi="宋体"/>
      <w:kern w:val="0"/>
    </w:rPr>
  </w:style>
  <w:style w:type="paragraph" w:styleId="10">
    <w:name w:val="annotation subject"/>
    <w:basedOn w:val="4"/>
    <w:next w:val="4"/>
    <w:link w:val="23"/>
    <w:semiHidden/>
    <w:unhideWhenUsed/>
    <w:qFormat/>
    <w:uiPriority w:val="99"/>
    <w:rPr>
      <w:b/>
      <w:bCs/>
    </w:rPr>
  </w:style>
  <w:style w:type="character" w:styleId="13">
    <w:name w:val="Strong"/>
    <w:basedOn w:val="12"/>
    <w:qFormat/>
    <w:uiPriority w:val="22"/>
    <w:rPr>
      <w:b/>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7"/>
    <w:qFormat/>
    <w:uiPriority w:val="99"/>
    <w:rPr>
      <w:rFonts w:ascii="Times New Roman" w:hAnsi="Times New Roman" w:eastAsia="宋体" w:cs="Times New Roman"/>
      <w:sz w:val="18"/>
      <w:szCs w:val="18"/>
    </w:rPr>
  </w:style>
  <w:style w:type="character" w:customStyle="1" w:styleId="17">
    <w:name w:val="页脚 字符"/>
    <w:basedOn w:val="12"/>
    <w:link w:val="6"/>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pPr>
  </w:style>
  <w:style w:type="character" w:customStyle="1" w:styleId="19">
    <w:name w:val="批注框文本 字符"/>
    <w:basedOn w:val="12"/>
    <w:link w:val="5"/>
    <w:semiHidden/>
    <w:qFormat/>
    <w:uiPriority w:val="99"/>
    <w:rPr>
      <w:rFonts w:ascii="Times New Roman" w:hAnsi="Times New Roman" w:eastAsia="宋体" w:cs="Times New Roman"/>
      <w:sz w:val="18"/>
      <w:szCs w:val="18"/>
    </w:rPr>
  </w:style>
  <w:style w:type="paragraph" w:customStyle="1" w:styleId="20">
    <w:name w:val="111"/>
    <w:basedOn w:val="1"/>
    <w:link w:val="21"/>
    <w:qFormat/>
    <w:uiPriority w:val="0"/>
    <w:pPr>
      <w:spacing w:beforeLines="50"/>
      <w:ind w:firstLine="480"/>
    </w:pPr>
  </w:style>
  <w:style w:type="character" w:customStyle="1" w:styleId="21">
    <w:name w:val="111 Char"/>
    <w:basedOn w:val="12"/>
    <w:link w:val="20"/>
    <w:qFormat/>
    <w:uiPriority w:val="0"/>
    <w:rPr>
      <w:rFonts w:ascii="Times New Roman" w:hAnsi="Times New Roman" w:eastAsia="宋体" w:cs="Times New Roman"/>
      <w:sz w:val="24"/>
      <w:szCs w:val="24"/>
    </w:rPr>
  </w:style>
  <w:style w:type="character" w:customStyle="1" w:styleId="22">
    <w:name w:val="批注文字 字符"/>
    <w:basedOn w:val="12"/>
    <w:link w:val="4"/>
    <w:semiHidden/>
    <w:qFormat/>
    <w:uiPriority w:val="99"/>
    <w:rPr>
      <w:rFonts w:ascii="Times New Roman" w:hAnsi="Times New Roman" w:eastAsia="宋体" w:cs="Times New Roman"/>
      <w:sz w:val="24"/>
      <w:szCs w:val="24"/>
    </w:rPr>
  </w:style>
  <w:style w:type="character" w:customStyle="1" w:styleId="23">
    <w:name w:val="批注主题 字符"/>
    <w:basedOn w:val="22"/>
    <w:link w:val="10"/>
    <w:semiHidden/>
    <w:qFormat/>
    <w:uiPriority w:val="99"/>
    <w:rPr>
      <w:rFonts w:ascii="Times New Roman" w:hAnsi="Times New Roman" w:eastAsia="宋体" w:cs="Times New Roman"/>
      <w:b/>
      <w:bCs/>
      <w:sz w:val="24"/>
      <w:szCs w:val="24"/>
    </w:rPr>
  </w:style>
  <w:style w:type="paragraph" w:customStyle="1" w:styleId="24">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25">
    <w:name w:val="Table Paragraph"/>
    <w:basedOn w:val="1"/>
    <w:qFormat/>
    <w:uiPriority w:val="1"/>
    <w:pPr>
      <w:ind w:left="107"/>
    </w:pPr>
    <w:rPr>
      <w:rFonts w:ascii="宋体" w:hAnsi="宋体" w:cs="宋体"/>
      <w:lang w:val="zh-CN" w:bidi="zh-CN"/>
    </w:rPr>
  </w:style>
  <w:style w:type="paragraph" w:customStyle="1" w:styleId="26">
    <w:name w:val="修订2"/>
    <w:hidden/>
    <w:semiHidden/>
    <w:qFormat/>
    <w:uiPriority w:val="99"/>
    <w:rPr>
      <w:rFonts w:ascii="Times New Roman" w:hAnsi="Times New Roman" w:eastAsia="宋体" w:cs="Times New Roman"/>
      <w:kern w:val="2"/>
      <w:sz w:val="24"/>
      <w:szCs w:val="24"/>
      <w:lang w:val="en-US" w:eastAsia="zh-CN" w:bidi="ar-SA"/>
    </w:rPr>
  </w:style>
  <w:style w:type="character" w:customStyle="1" w:styleId="27">
    <w:name w:val="标题 1 字符"/>
    <w:basedOn w:val="12"/>
    <w:link w:val="2"/>
    <w:qFormat/>
    <w:uiPriority w:val="9"/>
    <w:rPr>
      <w:rFonts w:ascii="宋体" w:hAnsi="宋体" w:eastAsia="宋体" w:cs="宋体"/>
      <w:b/>
      <w:bCs/>
      <w:kern w:val="36"/>
      <w:sz w:val="48"/>
      <w:szCs w:val="48"/>
    </w:rPr>
  </w:style>
  <w:style w:type="paragraph" w:customStyle="1" w:styleId="28">
    <w:name w:val="md-size"/>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character" w:customStyle="1" w:styleId="29">
    <w:name w:val="标题 2 字符"/>
    <w:basedOn w:val="12"/>
    <w:link w:val="3"/>
    <w:semiHidden/>
    <w:qFormat/>
    <w:uiPriority w:val="9"/>
    <w:rPr>
      <w:rFonts w:asciiTheme="majorHAnsi" w:hAnsiTheme="majorHAnsi" w:eastAsiaTheme="majorEastAsia" w:cstheme="majorBidi"/>
      <w:b/>
      <w:bCs/>
      <w:kern w:val="2"/>
      <w:sz w:val="32"/>
      <w:szCs w:val="32"/>
    </w:rPr>
  </w:style>
  <w:style w:type="character" w:customStyle="1" w:styleId="30">
    <w:name w:val="HTML 预设格式 字符"/>
    <w:basedOn w:val="12"/>
    <w:link w:val="8"/>
    <w:semiHidden/>
    <w:qFormat/>
    <w:uiPriority w:val="99"/>
    <w:rPr>
      <w:rFonts w:ascii="Courier New" w:hAnsi="Courier New" w:eastAsia="宋体" w:cs="Courier New"/>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2984</Words>
  <Characters>3005</Characters>
  <Lines>19</Lines>
  <Paragraphs>5</Paragraphs>
  <TotalTime>109</TotalTime>
  <ScaleCrop>false</ScaleCrop>
  <LinksUpToDate>false</LinksUpToDate>
  <CharactersWithSpaces>3136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2024-09-19T03:28:00Z</dcterms:created>
  <dc:creator>LZG</dc:creator>
  <cp:lastModifiedBy>Elaine x</cp:lastModifiedBy>
  <dcterms:modified xsi:type="dcterms:W3CDTF">2025-06-03T07:58:58Z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34080F77245B40469B17A5EB333F9925_13</vt:lpwstr>
  </property>
  <property fmtid="{D5CDD505-2E9C-101B-9397-08002B2CF9AE}" pid="4" name="KSOTemplateDocerSaveRecord">
    <vt:lpwstr>eyJoZGlkIjoiYmE5NWQ5OWNiOWYyMGQ0MGRkMmQ5NTczMGRiZjljMzAiLCJ1c2VySWQiOiI4OTc4MTEzNjcifQ==</vt:lpwstr>
  </property>
</Properties>
</file>